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6DD" w:rsidRDefault="00D1551E" w:rsidP="00D1551E">
      <w:bookmarkStart w:id="0" w:name="_GoBack"/>
      <w:bookmarkEnd w:id="0"/>
      <w:r>
        <w:rPr>
          <w:b/>
        </w:rPr>
        <w:t>I</w:t>
      </w:r>
      <w:r w:rsidR="00D876DD" w:rsidRPr="00D1551E">
        <w:rPr>
          <w:b/>
        </w:rPr>
        <w:t>ntroduction</w:t>
      </w:r>
    </w:p>
    <w:p w:rsidR="00737060" w:rsidRDefault="00956604" w:rsidP="00AA757E">
      <w:pPr>
        <w:pStyle w:val="BodyA"/>
      </w:pPr>
      <w:r>
        <w:t>This U</w:t>
      </w:r>
      <w:r w:rsidR="00737060">
        <w:t>.</w:t>
      </w:r>
      <w:r w:rsidR="00AA757E">
        <w:t>S</w:t>
      </w:r>
      <w:r w:rsidR="00737060">
        <w:t>.</w:t>
      </w:r>
      <w:r w:rsidR="00AA757E">
        <w:t xml:space="preserve"> Programs portfolio review </w:t>
      </w:r>
      <w:r w:rsidR="00221A01">
        <w:t xml:space="preserve">is divided into the three phases </w:t>
      </w:r>
      <w:r w:rsidR="00AA757E">
        <w:t xml:space="preserve">that </w:t>
      </w:r>
      <w:r w:rsidR="00F6597E">
        <w:t xml:space="preserve">have defined </w:t>
      </w:r>
      <w:r w:rsidR="00AA757E">
        <w:t>USP’s work to support a progressive understanding of the U</w:t>
      </w:r>
      <w:r w:rsidR="00152C4B">
        <w:t>.</w:t>
      </w:r>
      <w:r w:rsidR="00AA757E">
        <w:t>S</w:t>
      </w:r>
      <w:r w:rsidR="00152C4B">
        <w:t>.</w:t>
      </w:r>
      <w:r w:rsidR="00AA757E">
        <w:t xml:space="preserve"> Constitution</w:t>
      </w:r>
      <w:r w:rsidR="00D1551E">
        <w:t xml:space="preserve">. </w:t>
      </w:r>
      <w:r w:rsidR="00AA757E">
        <w:t xml:space="preserve"> </w:t>
      </w:r>
      <w:r w:rsidR="00D1551E">
        <w:t xml:space="preserve">Section I describes </w:t>
      </w:r>
      <w:r w:rsidR="00AA757E">
        <w:t xml:space="preserve">OSF’s </w:t>
      </w:r>
      <w:r w:rsidR="00DF255C">
        <w:t>decision to create and fund</w:t>
      </w:r>
      <w:r w:rsidR="002B07FC">
        <w:t xml:space="preserve"> </w:t>
      </w:r>
      <w:r w:rsidR="00AA757E">
        <w:t>progressive legal infrastructure</w:t>
      </w:r>
      <w:r w:rsidR="002B07FC">
        <w:t xml:space="preserve"> </w:t>
      </w:r>
      <w:r w:rsidR="00AA757E">
        <w:t xml:space="preserve">in the wake of the Supreme Court’s decision in </w:t>
      </w:r>
      <w:r w:rsidR="00AA757E">
        <w:rPr>
          <w:i/>
        </w:rPr>
        <w:t>Bush v. Gore</w:t>
      </w:r>
      <w:r w:rsidR="00D876DD">
        <w:t xml:space="preserve">; </w:t>
      </w:r>
      <w:r w:rsidR="00D1551E">
        <w:t xml:space="preserve">Section II discusses the impact of </w:t>
      </w:r>
      <w:r w:rsidR="00AA757E">
        <w:t xml:space="preserve">the election of Barack Obama </w:t>
      </w:r>
      <w:r w:rsidR="00DF255C">
        <w:t>in 2008</w:t>
      </w:r>
      <w:r w:rsidR="00204EF2">
        <w:t xml:space="preserve"> on </w:t>
      </w:r>
      <w:r w:rsidR="00737060">
        <w:t xml:space="preserve">the </w:t>
      </w:r>
      <w:r w:rsidR="00221A01">
        <w:t xml:space="preserve">composition and ideology of the </w:t>
      </w:r>
      <w:r w:rsidR="00737060">
        <w:t xml:space="preserve">federal </w:t>
      </w:r>
      <w:r w:rsidR="00204EF2">
        <w:t>courts</w:t>
      </w:r>
      <w:r w:rsidR="00D876DD">
        <w:t>;</w:t>
      </w:r>
      <w:r w:rsidR="00AA757E">
        <w:t xml:space="preserve"> and </w:t>
      </w:r>
      <w:r w:rsidR="00D1551E">
        <w:t xml:space="preserve">Section III explores </w:t>
      </w:r>
      <w:r w:rsidR="00B62D6F">
        <w:t xml:space="preserve">the progressive malaise of 2010-12, </w:t>
      </w:r>
      <w:r w:rsidR="00204EF2">
        <w:t>during</w:t>
      </w:r>
      <w:r w:rsidR="00737060">
        <w:t xml:space="preserve"> which</w:t>
      </w:r>
      <w:r w:rsidR="00204EF2">
        <w:t xml:space="preserve"> funders played a key role in </w:t>
      </w:r>
      <w:r w:rsidR="00737060">
        <w:t>a strategic shift to elevate the courts’ importance in political dialogue and increase pressure to prioritize judicial nominations</w:t>
      </w:r>
      <w:r w:rsidR="00AA757E">
        <w:t xml:space="preserve">. </w:t>
      </w:r>
    </w:p>
    <w:p w:rsidR="00737060" w:rsidRDefault="002B07FC" w:rsidP="00AA757E">
      <w:pPr>
        <w:pStyle w:val="BodyA"/>
      </w:pPr>
      <w:r w:rsidRPr="002B07FC">
        <w:t xml:space="preserve">In this </w:t>
      </w:r>
      <w:r w:rsidR="00737060">
        <w:t xml:space="preserve">review of the Constitution and the Courts </w:t>
      </w:r>
      <w:r w:rsidRPr="002B07FC">
        <w:t xml:space="preserve">portfolio, I will reflect on two </w:t>
      </w:r>
      <w:r w:rsidR="00CA03F3">
        <w:t xml:space="preserve">related </w:t>
      </w:r>
      <w:r w:rsidRPr="002B07FC">
        <w:t xml:space="preserve">aspects of the work:  </w:t>
      </w:r>
    </w:p>
    <w:p w:rsidR="00737060" w:rsidRDefault="002B07FC" w:rsidP="00AA757E">
      <w:pPr>
        <w:pStyle w:val="BodyA"/>
      </w:pPr>
      <w:r w:rsidRPr="002B07FC">
        <w:t>(</w:t>
      </w:r>
      <w:r>
        <w:t>1</w:t>
      </w:r>
      <w:r w:rsidRPr="002B07FC">
        <w:t xml:space="preserve">) OSF’s role in the creation </w:t>
      </w:r>
      <w:r>
        <w:t xml:space="preserve">of </w:t>
      </w:r>
      <w:r w:rsidRPr="002B07FC">
        <w:t xml:space="preserve">and continued support for progressive legal organizations </w:t>
      </w:r>
      <w:r>
        <w:t xml:space="preserve">that </w:t>
      </w:r>
      <w:r w:rsidRPr="002B07FC">
        <w:t>counter dominant conservative legal thought,</w:t>
      </w:r>
      <w:r w:rsidR="00737060">
        <w:t xml:space="preserve"> where I explore OSF’s efforts to mirror the Federalist Society and other conservative infrastructure, and ask how we should evaluate and compare progressive achievements with conservative ones;</w:t>
      </w:r>
      <w:r w:rsidRPr="002B07FC">
        <w:t xml:space="preserve"> and </w:t>
      </w:r>
    </w:p>
    <w:p w:rsidR="00AA757E" w:rsidRDefault="002B07FC" w:rsidP="00AA757E">
      <w:pPr>
        <w:pStyle w:val="BodyA"/>
      </w:pPr>
      <w:r w:rsidRPr="002B07FC">
        <w:t>(2) OSF’s decision to seed state-level federal judicial nominations advocacy</w:t>
      </w:r>
      <w:r w:rsidR="00737060">
        <w:t>, where I ask whether our state-based judicial nominations strategy has improved the climate for nominations, and to what extent that strategy has affected the number and quality of judicial nominees</w:t>
      </w:r>
      <w:r w:rsidRPr="002B07FC">
        <w:t xml:space="preserve">.   </w:t>
      </w:r>
    </w:p>
    <w:p w:rsidR="00D1551E" w:rsidRDefault="00D876DD" w:rsidP="00D876DD">
      <w:r w:rsidRPr="00D876DD">
        <w:t>As it now exists, th</w:t>
      </w:r>
      <w:r w:rsidR="00737060">
        <w:t>is</w:t>
      </w:r>
      <w:r w:rsidRPr="00D876DD">
        <w:t xml:space="preserve"> portfolio fosters the development, dissemination, and acceptance of progressive constitutional (and other legal) ideals that counter conservative Constitutional thought in courts, in practice, and in popul</w:t>
      </w:r>
      <w:r>
        <w:t>ar opinion. We support a field</w:t>
      </w:r>
      <w:r w:rsidR="00F632FF">
        <w:rPr>
          <w:rStyle w:val="FootnoteReference"/>
        </w:rPr>
        <w:footnoteReference w:id="1"/>
      </w:r>
      <w:r>
        <w:t xml:space="preserve"> </w:t>
      </w:r>
      <w:r w:rsidRPr="00D876DD">
        <w:t xml:space="preserve">of grantees that meet these goals by generating ideas, building networks, </w:t>
      </w:r>
      <w:proofErr w:type="gramStart"/>
      <w:r w:rsidRPr="00D876DD">
        <w:t>advocating</w:t>
      </w:r>
      <w:proofErr w:type="gramEnd"/>
      <w:r w:rsidRPr="00D876DD">
        <w:t xml:space="preserve"> on judicial nominations, litigating, and using strategic communications to share their ideas with both elites and the general public.  </w:t>
      </w:r>
    </w:p>
    <w:p w:rsidR="00E85D63" w:rsidRDefault="00AA757E" w:rsidP="00D876DD">
      <w:r>
        <w:t>A</w:t>
      </w:r>
      <w:r w:rsidR="00E85D63">
        <w:t xml:space="preserve">s we think about how to build a vibrant, democratic, inclusive and more just society in the United States, </w:t>
      </w:r>
      <w:r w:rsidR="00D1551E">
        <w:t>the U</w:t>
      </w:r>
      <w:r w:rsidR="00737060">
        <w:t>.</w:t>
      </w:r>
      <w:r w:rsidR="00D1551E">
        <w:t>S</w:t>
      </w:r>
      <w:r w:rsidR="00737060">
        <w:t>.</w:t>
      </w:r>
      <w:r w:rsidR="00D1551E">
        <w:t xml:space="preserve"> Constitution </w:t>
      </w:r>
      <w:r w:rsidR="000E6B47">
        <w:t xml:space="preserve">is a source of rights important </w:t>
      </w:r>
      <w:r w:rsidR="00E85D63">
        <w:t xml:space="preserve">across all four </w:t>
      </w:r>
      <w:r w:rsidR="00DF55F9">
        <w:t>U</w:t>
      </w:r>
      <w:r w:rsidR="00737060">
        <w:t>.</w:t>
      </w:r>
      <w:r w:rsidR="00DF55F9">
        <w:t>S</w:t>
      </w:r>
      <w:r w:rsidR="00737060">
        <w:t xml:space="preserve">. </w:t>
      </w:r>
      <w:r w:rsidR="00DF55F9">
        <w:t>P</w:t>
      </w:r>
      <w:r w:rsidR="00737060">
        <w:t>rograms</w:t>
      </w:r>
      <w:r w:rsidR="00DF55F9">
        <w:t xml:space="preserve"> </w:t>
      </w:r>
      <w:r w:rsidR="00E85D63">
        <w:t>goals</w:t>
      </w:r>
      <w:r w:rsidR="00D1551E">
        <w:t>.  W</w:t>
      </w:r>
      <w:r w:rsidR="00F06488">
        <w:t xml:space="preserve">hile the Constitution </w:t>
      </w:r>
      <w:r w:rsidR="00E85D63">
        <w:t>and the c</w:t>
      </w:r>
      <w:r w:rsidR="00F06488">
        <w:t>ourts that enforce its promises</w:t>
      </w:r>
      <w:r w:rsidR="00E85D63">
        <w:t xml:space="preserve"> are insufficient </w:t>
      </w:r>
      <w:r w:rsidR="00F06488">
        <w:t xml:space="preserve">to </w:t>
      </w:r>
      <w:r w:rsidR="00E85D63">
        <w:t>make change alone, USP’s work on criminal justice, full equality, an equitable economy, and a strong</w:t>
      </w:r>
      <w:r w:rsidR="00EF4EFC">
        <w:t xml:space="preserve"> and</w:t>
      </w:r>
      <w:r w:rsidR="00E85D63">
        <w:t xml:space="preserve"> inclusive democracy can be undone by courts that are motivated by an understanding of the Constitution that is antag</w:t>
      </w:r>
      <w:r w:rsidR="00DB7BCA">
        <w:t>onistic to open society values.</w:t>
      </w:r>
      <w:r w:rsidR="00DB7BCA">
        <w:rPr>
          <w:rStyle w:val="FootnoteReference"/>
        </w:rPr>
        <w:footnoteReference w:id="2"/>
      </w:r>
      <w:r w:rsidR="00D1551E">
        <w:t xml:space="preserve">  </w:t>
      </w:r>
      <w:r w:rsidR="00D1551E" w:rsidRPr="00D876DD">
        <w:t xml:space="preserve">Because of </w:t>
      </w:r>
      <w:r w:rsidR="00F811E4">
        <w:t>this</w:t>
      </w:r>
      <w:r w:rsidR="00F811E4" w:rsidRPr="00D876DD">
        <w:t xml:space="preserve"> </w:t>
      </w:r>
      <w:r w:rsidR="00D1551E" w:rsidRPr="00D876DD">
        <w:t>cross-cutting importance, O</w:t>
      </w:r>
      <w:r w:rsidR="002B170E">
        <w:t>SF has, for at least the last 13</w:t>
      </w:r>
      <w:r w:rsidR="00D1551E" w:rsidRPr="00D876DD">
        <w:t xml:space="preserve"> years, </w:t>
      </w:r>
      <w:r w:rsidR="00F811E4">
        <w:t xml:space="preserve">had a strategy </w:t>
      </w:r>
      <w:r w:rsidR="00D1551E" w:rsidRPr="00D876DD">
        <w:t xml:space="preserve">on the Constitution and the courts.  </w:t>
      </w:r>
    </w:p>
    <w:p w:rsidR="00DB3118" w:rsidRPr="00DB3118" w:rsidRDefault="00DB3118" w:rsidP="005D4FD0">
      <w:pPr>
        <w:pStyle w:val="ListParagraph"/>
        <w:ind w:left="45"/>
      </w:pPr>
    </w:p>
    <w:p w:rsidR="001802BE" w:rsidRDefault="00F6597E" w:rsidP="00D1551E">
      <w:pPr>
        <w:pStyle w:val="ListParagraph"/>
        <w:numPr>
          <w:ilvl w:val="0"/>
          <w:numId w:val="7"/>
        </w:numPr>
        <w:rPr>
          <w:b/>
        </w:rPr>
      </w:pPr>
      <w:r>
        <w:rPr>
          <w:b/>
        </w:rPr>
        <w:t>Pushing Back</w:t>
      </w:r>
      <w:r w:rsidR="00C45FC9">
        <w:rPr>
          <w:b/>
        </w:rPr>
        <w:t>:  Creating progressive legal infrastructure</w:t>
      </w:r>
      <w:r w:rsidR="00362EDF">
        <w:rPr>
          <w:b/>
        </w:rPr>
        <w:t xml:space="preserve"> (2002-2008)</w:t>
      </w:r>
    </w:p>
    <w:p w:rsidR="00AF3DD6" w:rsidRDefault="00AF3DD6" w:rsidP="00AF3DD6">
      <w:pPr>
        <w:pStyle w:val="ListParagraph"/>
        <w:ind w:left="45"/>
      </w:pPr>
    </w:p>
    <w:p w:rsidR="00197862" w:rsidRDefault="005D4FD0" w:rsidP="00AF3DD6">
      <w:pPr>
        <w:pStyle w:val="ListParagraph"/>
        <w:ind w:left="45"/>
      </w:pPr>
      <w:r>
        <w:t xml:space="preserve">Since 2002, </w:t>
      </w:r>
      <w:r w:rsidR="00CA03F3">
        <w:t xml:space="preserve">in the wake of </w:t>
      </w:r>
      <w:r>
        <w:t xml:space="preserve">the Supreme Court’s decision in </w:t>
      </w:r>
      <w:r w:rsidRPr="00FC067F">
        <w:rPr>
          <w:i/>
        </w:rPr>
        <w:t>Bush v</w:t>
      </w:r>
      <w:r w:rsidRPr="005D4FD0">
        <w:t>. Gore</w:t>
      </w:r>
      <w:r>
        <w:t xml:space="preserve">, </w:t>
      </w:r>
      <w:r w:rsidRPr="005D4FD0">
        <w:t>OSF</w:t>
      </w:r>
      <w:r>
        <w:t xml:space="preserve"> has been at the forefront of </w:t>
      </w:r>
      <w:r w:rsidR="00362EDF">
        <w:t xml:space="preserve">funding </w:t>
      </w:r>
      <w:r>
        <w:t xml:space="preserve">the creation of a legal and judicial infrastructure </w:t>
      </w:r>
      <w:r w:rsidR="007460F4">
        <w:t xml:space="preserve">developed to </w:t>
      </w:r>
      <w:r>
        <w:t>counter</w:t>
      </w:r>
      <w:r w:rsidR="000C168E">
        <w:t xml:space="preserve"> that of the right wing</w:t>
      </w:r>
      <w:r>
        <w:t>.  Conservatives provided an attractive model to follow:  their now-30-year-old investment in the Federalist Society has created a seamless continuum from conservative law student, taught by conservative faculty, to conservative practitioner</w:t>
      </w:r>
      <w:r w:rsidR="000C168E">
        <w:t>, and finally to conservative judge or justice.  The movement was f</w:t>
      </w:r>
      <w:r>
        <w:t>ueled</w:t>
      </w:r>
      <w:r w:rsidR="000C168E">
        <w:t>, in part,</w:t>
      </w:r>
      <w:r>
        <w:t xml:space="preserve"> by the </w:t>
      </w:r>
      <w:hyperlink r:id="rId10" w:history="1">
        <w:r w:rsidRPr="005D4FD0">
          <w:rPr>
            <w:rStyle w:val="Hyperlink"/>
          </w:rPr>
          <w:t>Powell Memo</w:t>
        </w:r>
      </w:hyperlink>
      <w:r w:rsidR="000C168E">
        <w:t xml:space="preserve">, </w:t>
      </w:r>
      <w:r>
        <w:t xml:space="preserve">which </w:t>
      </w:r>
      <w:r w:rsidR="000C168E">
        <w:t>set out a roadmap to change constitutional understandings to become more business-friendly, and which was in</w:t>
      </w:r>
      <w:r>
        <w:t xml:space="preserve"> turn modeled on the successes of Nader’s Raiders and the ACLU</w:t>
      </w:r>
      <w:r w:rsidR="000C168E">
        <w:t xml:space="preserve">.  The </w:t>
      </w:r>
      <w:r>
        <w:t>right’s long</w:t>
      </w:r>
      <w:r w:rsidR="001D389A">
        <w:t>-</w:t>
      </w:r>
      <w:r>
        <w:t>term investments in</w:t>
      </w:r>
      <w:r w:rsidR="00805974">
        <w:t xml:space="preserve"> the courts and in judges through</w:t>
      </w:r>
      <w:r>
        <w:t xml:space="preserve"> the Federalist Society have yielded </w:t>
      </w:r>
      <w:hyperlink r:id="rId11" w:history="1">
        <w:r w:rsidRPr="00EF390F">
          <w:rPr>
            <w:rStyle w:val="Hyperlink"/>
          </w:rPr>
          <w:t>significant policy dividends</w:t>
        </w:r>
      </w:hyperlink>
      <w:r>
        <w:t xml:space="preserve">:  </w:t>
      </w:r>
      <w:r w:rsidR="001D389A" w:rsidRPr="001D389A">
        <w:t>for evidence of their continuing successes in the federal courts</w:t>
      </w:r>
      <w:r w:rsidR="001D389A">
        <w:t>,</w:t>
      </w:r>
      <w:r w:rsidR="001D389A" w:rsidRPr="001D389A">
        <w:t xml:space="preserve"> </w:t>
      </w:r>
      <w:r>
        <w:t>look</w:t>
      </w:r>
      <w:r w:rsidR="00EF390F">
        <w:t xml:space="preserve"> no further than</w:t>
      </w:r>
      <w:r>
        <w:t xml:space="preserve"> the fight against the A</w:t>
      </w:r>
      <w:r w:rsidR="00EF390F">
        <w:t xml:space="preserve">ffordable </w:t>
      </w:r>
      <w:r>
        <w:t>C</w:t>
      </w:r>
      <w:r w:rsidR="00EF390F">
        <w:t xml:space="preserve">are </w:t>
      </w:r>
      <w:r>
        <w:t>A</w:t>
      </w:r>
      <w:r w:rsidR="00EF390F">
        <w:t>ct</w:t>
      </w:r>
      <w:r>
        <w:t>,</w:t>
      </w:r>
      <w:r w:rsidR="001D389A">
        <w:t xml:space="preserve"> both</w:t>
      </w:r>
      <w:r>
        <w:t xml:space="preserve"> incremental and frontal attacks on reproductive freedoms</w:t>
      </w:r>
      <w:r w:rsidR="00CA03F3">
        <w:t xml:space="preserve"> and voting rights</w:t>
      </w:r>
      <w:r>
        <w:t xml:space="preserve">, </w:t>
      </w:r>
      <w:r w:rsidR="00EF390F">
        <w:t xml:space="preserve">the remarkable reworking of our Second Amendment jurisprudence, </w:t>
      </w:r>
      <w:r>
        <w:t xml:space="preserve">and the overall attack on the regulatory state, from worker safety and organizing to the environment.  </w:t>
      </w:r>
      <w:r w:rsidR="000C168E">
        <w:t>The Federalist Society</w:t>
      </w:r>
      <w:r>
        <w:t xml:space="preserve"> combined (a) a </w:t>
      </w:r>
      <w:r w:rsidR="000A7DE3">
        <w:t xml:space="preserve">deeply </w:t>
      </w:r>
      <w:r w:rsidR="001D389A">
        <w:t xml:space="preserve">connected </w:t>
      </w:r>
      <w:r>
        <w:t>network of committed law students, professors and practitioners</w:t>
      </w:r>
      <w:r w:rsidR="00CC7682">
        <w:t xml:space="preserve"> (remember </w:t>
      </w:r>
      <w:hyperlink r:id="rId12" w:history="1">
        <w:r w:rsidR="00CC7682" w:rsidRPr="00FE2E64">
          <w:rPr>
            <w:rStyle w:val="Hyperlink"/>
          </w:rPr>
          <w:t>Monica Goodling</w:t>
        </w:r>
      </w:hyperlink>
      <w:r w:rsidR="00CC7682">
        <w:t>?)</w:t>
      </w:r>
      <w:r>
        <w:t>, (b) large, consistent</w:t>
      </w:r>
      <w:r w:rsidR="00F8451B">
        <w:t>, diverse foundation</w:t>
      </w:r>
      <w:r w:rsidR="003D0619">
        <w:t xml:space="preserve"> and corporate</w:t>
      </w:r>
      <w:r>
        <w:t xml:space="preserve"> funding, (c) disciplined issue</w:t>
      </w:r>
      <w:r w:rsidR="009B4F5B">
        <w:t xml:space="preserve"> and message</w:t>
      </w:r>
      <w:r>
        <w:t xml:space="preserve"> adherence</w:t>
      </w:r>
      <w:r w:rsidR="00294054">
        <w:t>, and (d</w:t>
      </w:r>
      <w:r w:rsidR="00197862">
        <w:t xml:space="preserve">) </w:t>
      </w:r>
      <w:r w:rsidR="00EF390F">
        <w:t xml:space="preserve">a deep </w:t>
      </w:r>
      <w:r w:rsidR="00197862">
        <w:t xml:space="preserve">understanding of the courts’ importance by the conservative base and </w:t>
      </w:r>
      <w:r w:rsidR="00197862" w:rsidRPr="00F535A4">
        <w:t>political elites alike</w:t>
      </w:r>
      <w:r w:rsidRPr="00AB37B7">
        <w:t>.</w:t>
      </w:r>
      <w:r>
        <w:t xml:space="preserve"> </w:t>
      </w:r>
    </w:p>
    <w:p w:rsidR="009541F7" w:rsidRPr="00AF3DD6" w:rsidRDefault="009541F7" w:rsidP="00AF3DD6">
      <w:pPr>
        <w:pStyle w:val="ListParagraph"/>
        <w:ind w:left="45"/>
        <w:rPr>
          <w:b/>
        </w:rPr>
      </w:pPr>
    </w:p>
    <w:p w:rsidR="003F20AE" w:rsidRDefault="00985C50" w:rsidP="00134E96">
      <w:pPr>
        <w:pStyle w:val="ListParagraph"/>
        <w:ind w:left="45"/>
      </w:pPr>
      <w:r>
        <w:t xml:space="preserve">John </w:t>
      </w:r>
      <w:proofErr w:type="spellStart"/>
      <w:r>
        <w:t>Kowal</w:t>
      </w:r>
      <w:proofErr w:type="spellEnd"/>
      <w:r>
        <w:t xml:space="preserve">, USP Program Officer </w:t>
      </w:r>
      <w:r w:rsidR="00291BC5">
        <w:t xml:space="preserve">for this portfolio </w:t>
      </w:r>
      <w:r>
        <w:t xml:space="preserve">at the time, </w:t>
      </w:r>
      <w:r w:rsidR="005D4FD0">
        <w:t xml:space="preserve">wasn’t the only one </w:t>
      </w:r>
      <w:r w:rsidR="00CA03F3">
        <w:t>thinking about imitating the right’s successes</w:t>
      </w:r>
      <w:r>
        <w:t xml:space="preserve">:  </w:t>
      </w:r>
      <w:r w:rsidR="005D4FD0">
        <w:t xml:space="preserve">in </w:t>
      </w:r>
      <w:r w:rsidR="000C168E">
        <w:t xml:space="preserve">the </w:t>
      </w:r>
      <w:r w:rsidR="00CA03F3">
        <w:t xml:space="preserve">days after the </w:t>
      </w:r>
      <w:r w:rsidR="000C168E">
        <w:rPr>
          <w:i/>
        </w:rPr>
        <w:t xml:space="preserve">Bush v. </w:t>
      </w:r>
      <w:r w:rsidR="000C168E" w:rsidRPr="000C168E">
        <w:rPr>
          <w:i/>
        </w:rPr>
        <w:t>Gore</w:t>
      </w:r>
      <w:r w:rsidR="000C168E">
        <w:t xml:space="preserve"> </w:t>
      </w:r>
      <w:r w:rsidR="005D4FD0" w:rsidRPr="000C168E">
        <w:t>decision</w:t>
      </w:r>
      <w:r w:rsidR="001D389A">
        <w:t>, progressive lawyers and law students began to counter-organize on the East and West coasts (more below)</w:t>
      </w:r>
      <w:r w:rsidR="005D4FD0">
        <w:t xml:space="preserve">.  </w:t>
      </w:r>
      <w:r w:rsidR="001D389A">
        <w:t>USP considered the fact that w</w:t>
      </w:r>
      <w:r w:rsidR="005D4FD0">
        <w:t xml:space="preserve">hile </w:t>
      </w:r>
      <w:r>
        <w:t xml:space="preserve">there were </w:t>
      </w:r>
      <w:r w:rsidR="005D4FD0">
        <w:t xml:space="preserve">many existing </w:t>
      </w:r>
      <w:r>
        <w:t xml:space="preserve">issue-based </w:t>
      </w:r>
      <w:r w:rsidR="005D4FD0">
        <w:t xml:space="preserve">legal organizations, none organized across progressive issue areas, with student capacity and long-term </w:t>
      </w:r>
      <w:r>
        <w:t xml:space="preserve">movement building </w:t>
      </w:r>
      <w:r w:rsidR="005D4FD0">
        <w:t xml:space="preserve">as goals.  </w:t>
      </w:r>
      <w:r w:rsidR="00911661">
        <w:t xml:space="preserve">For </w:t>
      </w:r>
      <w:proofErr w:type="spellStart"/>
      <w:r w:rsidR="00911661">
        <w:t>Kowal</w:t>
      </w:r>
      <w:proofErr w:type="spellEnd"/>
      <w:r w:rsidR="00911661">
        <w:t xml:space="preserve">, and others at OSF, </w:t>
      </w:r>
      <w:r w:rsidR="00134E96">
        <w:t xml:space="preserve">the Bush </w:t>
      </w:r>
      <w:r w:rsidR="00CA03F3">
        <w:t>ascension</w:t>
      </w:r>
      <w:r w:rsidR="00134E96">
        <w:t>—and the Supreme Court’s role in it—</w:t>
      </w:r>
      <w:r w:rsidR="002B170E">
        <w:t>made clear the danger in being “</w:t>
      </w:r>
      <w:r w:rsidR="00911661">
        <w:t xml:space="preserve">for neutral principles in judicial selection, but </w:t>
      </w:r>
      <w:r w:rsidR="002B170E">
        <w:t>…</w:t>
      </w:r>
      <w:r w:rsidR="00911661">
        <w:t xml:space="preserve"> naïve about a process that threatens open society values.</w:t>
      </w:r>
      <w:r w:rsidR="002B170E">
        <w:t>”</w:t>
      </w:r>
      <w:r w:rsidR="002B170E">
        <w:rPr>
          <w:rStyle w:val="FootnoteReference"/>
        </w:rPr>
        <w:footnoteReference w:id="3"/>
      </w:r>
      <w:r w:rsidR="002F1D37">
        <w:t xml:space="preserve">  In 2003, </w:t>
      </w:r>
      <w:proofErr w:type="spellStart"/>
      <w:r w:rsidR="002F1D37">
        <w:t>Kowal</w:t>
      </w:r>
      <w:proofErr w:type="spellEnd"/>
      <w:r w:rsidR="002F1D37">
        <w:t xml:space="preserve"> and </w:t>
      </w:r>
      <w:r w:rsidR="00291BC5">
        <w:t xml:space="preserve">then USP Director </w:t>
      </w:r>
      <w:proofErr w:type="spellStart"/>
      <w:r w:rsidR="002F1D37">
        <w:t>Gara</w:t>
      </w:r>
      <w:proofErr w:type="spellEnd"/>
      <w:r w:rsidR="002F1D37">
        <w:t xml:space="preserve"> </w:t>
      </w:r>
      <w:proofErr w:type="spellStart"/>
      <w:r w:rsidR="002F1D37">
        <w:t>LaMarche</w:t>
      </w:r>
      <w:proofErr w:type="spellEnd"/>
      <w:r w:rsidR="002F1D37">
        <w:t xml:space="preserve"> formed a progressive infrastructure portfolio to </w:t>
      </w:r>
      <w:r w:rsidR="001934EF">
        <w:t xml:space="preserve">begin to </w:t>
      </w:r>
      <w:r w:rsidR="002F1D37">
        <w:t xml:space="preserve">address the asymmetry between conservative and progressive </w:t>
      </w:r>
      <w:r w:rsidR="00134E96">
        <w:t xml:space="preserve">legal </w:t>
      </w:r>
      <w:r w:rsidR="002F1D37">
        <w:t>movements.</w:t>
      </w:r>
    </w:p>
    <w:p w:rsidR="000F7B21" w:rsidRDefault="000F7B21" w:rsidP="005D4FD0">
      <w:pPr>
        <w:pStyle w:val="ListParagraph"/>
        <w:ind w:left="45"/>
      </w:pPr>
    </w:p>
    <w:p w:rsidR="00115D7E" w:rsidRDefault="005D4FD0" w:rsidP="005D4FD0">
      <w:pPr>
        <w:pStyle w:val="ListParagraph"/>
        <w:ind w:left="45"/>
      </w:pPr>
      <w:r>
        <w:t xml:space="preserve">Two </w:t>
      </w:r>
      <w:r w:rsidR="000C168E">
        <w:t xml:space="preserve">new </w:t>
      </w:r>
      <w:r w:rsidR="00B20964">
        <w:t xml:space="preserve">organizations </w:t>
      </w:r>
      <w:r>
        <w:t>emerge</w:t>
      </w:r>
      <w:r w:rsidR="00B20964">
        <w:t>d</w:t>
      </w:r>
      <w:r w:rsidR="00134E96">
        <w:t xml:space="preserve"> as possible competitors to the Federalist Society</w:t>
      </w:r>
      <w:r>
        <w:t xml:space="preserve">, </w:t>
      </w:r>
      <w:r w:rsidR="00B20964">
        <w:t xml:space="preserve">and USP </w:t>
      </w:r>
      <w:r w:rsidR="00F827BF">
        <w:t xml:space="preserve">provided seed </w:t>
      </w:r>
      <w:r>
        <w:t>fund</w:t>
      </w:r>
      <w:r w:rsidR="00F827BF">
        <w:t>ing for</w:t>
      </w:r>
      <w:r w:rsidR="00B20964">
        <w:t xml:space="preserve"> both</w:t>
      </w:r>
      <w:r>
        <w:t xml:space="preserve">:  </w:t>
      </w:r>
      <w:r w:rsidR="00B20964">
        <w:t xml:space="preserve">the </w:t>
      </w:r>
      <w:r>
        <w:t>Equal Justice Society</w:t>
      </w:r>
      <w:r w:rsidR="00B75872">
        <w:t xml:space="preserve"> (EJS)</w:t>
      </w:r>
      <w:r>
        <w:t xml:space="preserve">, </w:t>
      </w:r>
      <w:r w:rsidR="00B20964">
        <w:t>headquartered in the Bay Area and</w:t>
      </w:r>
      <w:r>
        <w:t xml:space="preserve"> led by Eva Paterson, and the American Constitution Society</w:t>
      </w:r>
      <w:r w:rsidR="00B75872">
        <w:t xml:space="preserve"> (ACS)</w:t>
      </w:r>
      <w:r w:rsidR="000C168E">
        <w:t>, which started</w:t>
      </w:r>
      <w:r>
        <w:t xml:space="preserve"> at Georgetown</w:t>
      </w:r>
      <w:r w:rsidR="00B20964">
        <w:t xml:space="preserve"> University School of Law</w:t>
      </w:r>
      <w:r>
        <w:t xml:space="preserve">.  </w:t>
      </w:r>
      <w:r w:rsidR="00546B7F">
        <w:t xml:space="preserve">USP funded these organizations as part of a strategy to challenge dominant conservative Constitutional norms, in part by creating a network of the kind enjoyed by Federalist Society since the 1980s to </w:t>
      </w:r>
      <w:proofErr w:type="gramStart"/>
      <w:r w:rsidR="00546B7F">
        <w:t>discuss,</w:t>
      </w:r>
      <w:proofErr w:type="gramEnd"/>
      <w:r w:rsidR="00546B7F">
        <w:t xml:space="preserve"> debate and embrace progressive constitutional argument.  No less important, </w:t>
      </w:r>
      <w:proofErr w:type="spellStart"/>
      <w:r w:rsidR="00546B7F">
        <w:t>Kowal</w:t>
      </w:r>
      <w:proofErr w:type="spellEnd"/>
      <w:r w:rsidR="00546B7F">
        <w:t xml:space="preserve"> funded the organizations in an effort to advance the substantive issues OSF cared about, by mobilizing lawyers, students, law professors, activists and judges to develop a rights-based Constitutional jurisprudence compatible with open society values</w:t>
      </w:r>
      <w:r w:rsidR="00546B7F" w:rsidRPr="00F827BF">
        <w:t>.</w:t>
      </w:r>
      <w:r w:rsidR="00546B7F">
        <w:t xml:space="preserve">  </w:t>
      </w:r>
      <w:r w:rsidR="003F6F7E">
        <w:t>T</w:t>
      </w:r>
      <w:r w:rsidR="00B20964">
        <w:t xml:space="preserve">he groups were not divided </w:t>
      </w:r>
      <w:r w:rsidR="005E4503">
        <w:t xml:space="preserve">only </w:t>
      </w:r>
      <w:r w:rsidR="00B20964">
        <w:t xml:space="preserve">by geography:  from </w:t>
      </w:r>
      <w:r w:rsidR="005E4503">
        <w:t xml:space="preserve">its </w:t>
      </w:r>
      <w:r w:rsidR="00B20964">
        <w:t>early days, ACS had</w:t>
      </w:r>
      <w:r>
        <w:t xml:space="preserve"> a more ivory-tower, less diverse reputation, and EJS </w:t>
      </w:r>
      <w:r w:rsidR="00B75872">
        <w:t>not only had</w:t>
      </w:r>
      <w:r w:rsidR="00B20964">
        <w:t xml:space="preserve"> </w:t>
      </w:r>
      <w:r>
        <w:t xml:space="preserve">a more explicit racial justice focus, </w:t>
      </w:r>
      <w:r w:rsidR="000C168E">
        <w:t xml:space="preserve">but also included </w:t>
      </w:r>
      <w:r>
        <w:t xml:space="preserve">litigation in </w:t>
      </w:r>
      <w:r w:rsidR="000C168E">
        <w:t xml:space="preserve">its </w:t>
      </w:r>
      <w:r>
        <w:t>programs.</w:t>
      </w:r>
      <w:r w:rsidR="003F6F7E">
        <w:t xml:space="preserve"> </w:t>
      </w:r>
      <w:r>
        <w:t xml:space="preserve"> </w:t>
      </w:r>
      <w:r w:rsidR="00B20964">
        <w:t>U</w:t>
      </w:r>
      <w:r>
        <w:t>ltimately</w:t>
      </w:r>
      <w:r w:rsidR="00B75872">
        <w:t>,</w:t>
      </w:r>
      <w:r>
        <w:t xml:space="preserve"> ACS </w:t>
      </w:r>
      <w:r w:rsidR="000C168E">
        <w:t>establish</w:t>
      </w:r>
      <w:r w:rsidR="005E4503">
        <w:t>ed</w:t>
      </w:r>
      <w:r w:rsidR="000C168E">
        <w:t xml:space="preserve"> significant</w:t>
      </w:r>
      <w:r>
        <w:t xml:space="preserve"> campus </w:t>
      </w:r>
      <w:r w:rsidR="000C168E">
        <w:t>presence</w:t>
      </w:r>
      <w:r w:rsidR="00B75872">
        <w:t xml:space="preserve">, </w:t>
      </w:r>
      <w:r w:rsidR="005E4503">
        <w:t xml:space="preserve">with </w:t>
      </w:r>
      <w:r w:rsidR="000125AB">
        <w:t>100</w:t>
      </w:r>
      <w:r w:rsidR="00B75872">
        <w:t xml:space="preserve"> </w:t>
      </w:r>
      <w:r w:rsidR="00D65258">
        <w:t xml:space="preserve">law </w:t>
      </w:r>
      <w:r w:rsidR="00B75872">
        <w:t xml:space="preserve">student chapters by </w:t>
      </w:r>
      <w:r w:rsidR="000125AB" w:rsidRPr="000125AB">
        <w:t>2005</w:t>
      </w:r>
      <w:r>
        <w:t>—a key part of the plan—</w:t>
      </w:r>
      <w:r w:rsidR="00B75872">
        <w:t xml:space="preserve">while </w:t>
      </w:r>
      <w:r>
        <w:t xml:space="preserve">EJS </w:t>
      </w:r>
      <w:r w:rsidR="00B20964">
        <w:t xml:space="preserve">faced </w:t>
      </w:r>
      <w:r>
        <w:t xml:space="preserve">funding and </w:t>
      </w:r>
      <w:r w:rsidR="00115D7E">
        <w:t>leadership challenges.  Within three</w:t>
      </w:r>
      <w:r>
        <w:t xml:space="preserve"> years, </w:t>
      </w:r>
      <w:r w:rsidR="00115D7E">
        <w:t xml:space="preserve">and with urging from OSF, the organizations’ </w:t>
      </w:r>
      <w:r>
        <w:lastRenderedPageBreak/>
        <w:t xml:space="preserve">programs differentiated, and ACS </w:t>
      </w:r>
      <w:r w:rsidR="00B20964">
        <w:t xml:space="preserve">assumed </w:t>
      </w:r>
      <w:r w:rsidR="00991F01">
        <w:t xml:space="preserve">a </w:t>
      </w:r>
      <w:r w:rsidR="00B20964">
        <w:t>clear</w:t>
      </w:r>
      <w:r>
        <w:t xml:space="preserve"> role as</w:t>
      </w:r>
      <w:r w:rsidR="002A6479">
        <w:t xml:space="preserve"> </w:t>
      </w:r>
      <w:r w:rsidR="00991F01">
        <w:t xml:space="preserve">the </w:t>
      </w:r>
      <w:r w:rsidR="00B20964">
        <w:t xml:space="preserve">left’s counterpart to the </w:t>
      </w:r>
      <w:r w:rsidR="002A6479">
        <w:t>Fed</w:t>
      </w:r>
      <w:r w:rsidR="00B20964">
        <w:t>eralist</w:t>
      </w:r>
      <w:r w:rsidR="002A6479">
        <w:t xml:space="preserve"> Soc</w:t>
      </w:r>
      <w:r w:rsidR="00B20964">
        <w:t>iety</w:t>
      </w:r>
      <w:r w:rsidR="00B75872">
        <w:t xml:space="preserve">.  </w:t>
      </w:r>
      <w:r w:rsidR="00115D7E">
        <w:t xml:space="preserve">EJS </w:t>
      </w:r>
      <w:r w:rsidR="00B75872">
        <w:t xml:space="preserve">survived, emerging </w:t>
      </w:r>
      <w:r w:rsidR="00115D7E">
        <w:t xml:space="preserve">as a west coast-based civil rights </w:t>
      </w:r>
      <w:r w:rsidR="00D65258">
        <w:t>advocacy organization</w:t>
      </w:r>
      <w:r w:rsidR="0022150A">
        <w:t>.</w:t>
      </w:r>
    </w:p>
    <w:p w:rsidR="00115D7E" w:rsidRDefault="00115D7E" w:rsidP="005D4FD0">
      <w:pPr>
        <w:pStyle w:val="ListParagraph"/>
        <w:ind w:left="45"/>
      </w:pPr>
    </w:p>
    <w:p w:rsidR="00B75872" w:rsidRDefault="005D4FD0" w:rsidP="005D4FD0">
      <w:pPr>
        <w:pStyle w:val="ListParagraph"/>
        <w:ind w:left="45"/>
      </w:pPr>
      <w:r>
        <w:t xml:space="preserve">But </w:t>
      </w:r>
      <w:r w:rsidR="00115D7E">
        <w:t xml:space="preserve">it would be a mistake to look at these organizations in isolation.  One key to the </w:t>
      </w:r>
      <w:r>
        <w:t>Fed</w:t>
      </w:r>
      <w:r w:rsidR="00115D7E">
        <w:t>eralist</w:t>
      </w:r>
      <w:r>
        <w:t xml:space="preserve"> Soc</w:t>
      </w:r>
      <w:r w:rsidR="00115D7E">
        <w:t xml:space="preserve">iety’s success is </w:t>
      </w:r>
      <w:r w:rsidR="008214C8">
        <w:t>its situation</w:t>
      </w:r>
      <w:r>
        <w:t xml:space="preserve"> within</w:t>
      </w:r>
      <w:r w:rsidR="008214C8">
        <w:t xml:space="preserve"> a</w:t>
      </w:r>
      <w:r>
        <w:t xml:space="preserve"> constellation of conservative org</w:t>
      </w:r>
      <w:r w:rsidR="00B75872">
        <w:t>anizations</w:t>
      </w:r>
      <w:r>
        <w:t xml:space="preserve">:  </w:t>
      </w:r>
      <w:r w:rsidR="00B75872">
        <w:t xml:space="preserve">the American Legislative Exchange Council drives state and local legislative efforts; </w:t>
      </w:r>
      <w:r w:rsidR="00115D7E">
        <w:t xml:space="preserve">the </w:t>
      </w:r>
      <w:r>
        <w:t>Heritage</w:t>
      </w:r>
      <w:r w:rsidR="00115D7E">
        <w:t xml:space="preserve"> Foundation, Cato</w:t>
      </w:r>
      <w:r w:rsidR="00B75872">
        <w:t xml:space="preserve"> Institute and </w:t>
      </w:r>
      <w:r w:rsidR="00115D7E">
        <w:t xml:space="preserve">American Enterprise Institute </w:t>
      </w:r>
      <w:r w:rsidR="00B75872">
        <w:t xml:space="preserve">take the lead on </w:t>
      </w:r>
      <w:r w:rsidR="00115D7E">
        <w:t xml:space="preserve">policy development; </w:t>
      </w:r>
      <w:r w:rsidR="00B75872">
        <w:t xml:space="preserve">and </w:t>
      </w:r>
      <w:r w:rsidR="00115D7E">
        <w:t>the</w:t>
      </w:r>
      <w:r w:rsidR="006A0E1C">
        <w:t xml:space="preserve"> Washington Legal Foundation,</w:t>
      </w:r>
      <w:r w:rsidR="00115D7E">
        <w:t xml:space="preserve"> </w:t>
      </w:r>
      <w:r>
        <w:t>Pacific Legal</w:t>
      </w:r>
      <w:r w:rsidR="00115D7E">
        <w:t xml:space="preserve"> Foundation</w:t>
      </w:r>
      <w:proofErr w:type="gramStart"/>
      <w:r w:rsidR="00B75872">
        <w:t xml:space="preserve">, </w:t>
      </w:r>
      <w:r w:rsidR="00152C4B">
        <w:t xml:space="preserve"> and</w:t>
      </w:r>
      <w:proofErr w:type="gramEnd"/>
      <w:r w:rsidR="00152C4B">
        <w:t xml:space="preserve"> </w:t>
      </w:r>
      <w:r w:rsidR="00B75872">
        <w:t>U</w:t>
      </w:r>
      <w:r w:rsidR="00152C4B">
        <w:t>.</w:t>
      </w:r>
      <w:r w:rsidR="00B75872">
        <w:t>S</w:t>
      </w:r>
      <w:r w:rsidR="00152C4B">
        <w:t>.</w:t>
      </w:r>
      <w:r w:rsidR="00B75872">
        <w:t xml:space="preserve"> Chamber of Commerce Litigation Center</w:t>
      </w:r>
      <w:r w:rsidR="00152C4B">
        <w:t xml:space="preserve"> </w:t>
      </w:r>
      <w:r w:rsidR="00B75872">
        <w:t>are among the right’s strongest litigators</w:t>
      </w:r>
      <w:r w:rsidR="000A7DE3">
        <w:t>.</w:t>
      </w:r>
      <w:r w:rsidR="00B75872">
        <w:t xml:space="preserve">  Of course, particularly in the economic realm, the Federalist Society also enjoys </w:t>
      </w:r>
      <w:r w:rsidR="0022150A">
        <w:t>funding</w:t>
      </w:r>
      <w:r w:rsidR="00B75872">
        <w:t xml:space="preserve"> support from corporate law firms, whose clients’ interests are aligned</w:t>
      </w:r>
      <w:r w:rsidR="00956604">
        <w:t xml:space="preserve"> in litigation</w:t>
      </w:r>
      <w:r w:rsidR="00B75872">
        <w:t>.</w:t>
      </w:r>
      <w:r w:rsidR="000A7DE3">
        <w:t xml:space="preserve">  </w:t>
      </w:r>
      <w:r w:rsidR="006A0E1C">
        <w:t>And the Judicial Crisis Network (</w:t>
      </w:r>
      <w:hyperlink r:id="rId13" w:history="1">
        <w:r w:rsidR="00F87AA4">
          <w:rPr>
            <w:rStyle w:val="Hyperlink"/>
          </w:rPr>
          <w:t>called, until 2010</w:t>
        </w:r>
        <w:r w:rsidR="006A0E1C" w:rsidRPr="00F87AA4">
          <w:rPr>
            <w:rStyle w:val="Hyperlink"/>
          </w:rPr>
          <w:t xml:space="preserve">, the Judicial </w:t>
        </w:r>
        <w:r w:rsidR="006A0E1C" w:rsidRPr="00F87AA4">
          <w:rPr>
            <w:rStyle w:val="Hyperlink"/>
            <w:i/>
          </w:rPr>
          <w:t>Confirmation</w:t>
        </w:r>
        <w:r w:rsidR="006A0E1C" w:rsidRPr="00F87AA4">
          <w:rPr>
            <w:rStyle w:val="Hyperlink"/>
          </w:rPr>
          <w:t xml:space="preserve"> Network</w:t>
        </w:r>
      </w:hyperlink>
      <w:r w:rsidR="006A0E1C">
        <w:t>) operates to push conservative judges and obstruct judicial nominees seen as insufficiently</w:t>
      </w:r>
      <w:r w:rsidR="001934EF">
        <w:t xml:space="preserve"> faithful to the cause</w:t>
      </w:r>
      <w:r w:rsidR="006A0E1C">
        <w:t>.</w:t>
      </w:r>
    </w:p>
    <w:p w:rsidR="00B75872" w:rsidRDefault="00B75872" w:rsidP="005D4FD0">
      <w:pPr>
        <w:pStyle w:val="ListParagraph"/>
        <w:ind w:left="45"/>
      </w:pPr>
    </w:p>
    <w:p w:rsidR="008E1886" w:rsidRDefault="00E62FC8" w:rsidP="005D4FD0">
      <w:pPr>
        <w:pStyle w:val="ListParagraph"/>
        <w:ind w:left="45"/>
      </w:pPr>
      <w:r>
        <w:t>OSF</w:t>
      </w:r>
      <w:r w:rsidR="00D71039">
        <w:t xml:space="preserve"> arranged its</w:t>
      </w:r>
      <w:r>
        <w:t xml:space="preserve"> funding in mirror image.  I</w:t>
      </w:r>
      <w:r w:rsidR="000E1578">
        <w:t xml:space="preserve">n 2003, </w:t>
      </w:r>
      <w:r w:rsidR="00115D7E">
        <w:t xml:space="preserve">OSF </w:t>
      </w:r>
      <w:r w:rsidR="000E1578">
        <w:t>began to fund</w:t>
      </w:r>
      <w:r w:rsidR="00115D7E">
        <w:t xml:space="preserve"> the </w:t>
      </w:r>
      <w:r w:rsidR="000A7DE3">
        <w:t>C</w:t>
      </w:r>
      <w:r w:rsidR="00115D7E">
        <w:t xml:space="preserve">onstitutional </w:t>
      </w:r>
      <w:r w:rsidR="000A7DE3">
        <w:t>A</w:t>
      </w:r>
      <w:r w:rsidR="00115D7E">
        <w:t xml:space="preserve">ccountability </w:t>
      </w:r>
      <w:r w:rsidR="000A7DE3">
        <w:t>C</w:t>
      </w:r>
      <w:r w:rsidR="00115D7E">
        <w:t>enter</w:t>
      </w:r>
      <w:r w:rsidR="000A1F6B">
        <w:t xml:space="preserve"> </w:t>
      </w:r>
      <w:r w:rsidR="006A0E1C">
        <w:t xml:space="preserve">(CAC), which describes itself as a “think tank, law firm and action center,” and which works broadly across issues to </w:t>
      </w:r>
      <w:r w:rsidR="000A7DE3">
        <w:t xml:space="preserve">turn </w:t>
      </w:r>
      <w:r w:rsidR="006A0E1C">
        <w:t xml:space="preserve">the text and history of the Constitution </w:t>
      </w:r>
      <w:r w:rsidR="0022150A">
        <w:t xml:space="preserve">into </w:t>
      </w:r>
      <w:r w:rsidR="006A0E1C">
        <w:t xml:space="preserve">a progressive sword, </w:t>
      </w:r>
      <w:r>
        <w:t xml:space="preserve">embracing the Constitution to make </w:t>
      </w:r>
      <w:r w:rsidR="006A0E1C">
        <w:t>arguments supporting environmental regulation, civil rights laws, and access to justice</w:t>
      </w:r>
      <w:r w:rsidR="000A208E">
        <w:t xml:space="preserve">, </w:t>
      </w:r>
      <w:r w:rsidR="008214C8">
        <w:t>supplement</w:t>
      </w:r>
      <w:r w:rsidR="000A208E">
        <w:t>ing</w:t>
      </w:r>
      <w:r w:rsidR="006A0E1C">
        <w:t xml:space="preserve"> the wide variety of traditional progressive legal organizations that litigate</w:t>
      </w:r>
      <w:r w:rsidR="008214C8">
        <w:t xml:space="preserve"> in </w:t>
      </w:r>
      <w:r w:rsidR="000A208E">
        <w:t xml:space="preserve">these </w:t>
      </w:r>
      <w:r w:rsidR="008214C8">
        <w:t>specific issue areas</w:t>
      </w:r>
      <w:r w:rsidR="000A7DE3">
        <w:t xml:space="preserve">.  </w:t>
      </w:r>
      <w:proofErr w:type="spellStart"/>
      <w:r w:rsidR="006B121C">
        <w:t>Kowal</w:t>
      </w:r>
      <w:proofErr w:type="spellEnd"/>
      <w:r w:rsidR="006B121C">
        <w:t xml:space="preserve"> also began to provide support for the Brennan C</w:t>
      </w:r>
      <w:r w:rsidR="008E1886">
        <w:t>enter</w:t>
      </w:r>
      <w:r w:rsidR="00956604">
        <w:t xml:space="preserve"> that was</w:t>
      </w:r>
      <w:r w:rsidR="008E1886">
        <w:t xml:space="preserve"> designed to transform it from a traditional</w:t>
      </w:r>
      <w:r w:rsidR="006B121C">
        <w:t xml:space="preserve"> legal organization </w:t>
      </w:r>
      <w:r w:rsidR="008E1886">
        <w:t xml:space="preserve">to one with complementary </w:t>
      </w:r>
      <w:r w:rsidR="006B121C">
        <w:t xml:space="preserve">think tank and communications </w:t>
      </w:r>
      <w:r w:rsidR="008E1886">
        <w:t>capacities</w:t>
      </w:r>
      <w:r w:rsidR="006B121C">
        <w:t xml:space="preserve">.  </w:t>
      </w:r>
      <w:r w:rsidR="003B548D">
        <w:t>In an</w:t>
      </w:r>
      <w:r w:rsidR="00291BC5">
        <w:t xml:space="preserve"> effort at </w:t>
      </w:r>
      <w:r w:rsidR="003B548D">
        <w:t xml:space="preserve">pluralism, the Brennan Center work explored use of the “living constitution” theory—a competitor to CAC’s text and history approach.  </w:t>
      </w:r>
      <w:r w:rsidR="006B121C">
        <w:t>And i</w:t>
      </w:r>
      <w:r w:rsidR="006A0E1C">
        <w:t xml:space="preserve">n 2005, OSF made its first courts-related grants to the </w:t>
      </w:r>
      <w:r w:rsidR="000A7DE3">
        <w:t>C</w:t>
      </w:r>
      <w:r w:rsidR="006A0E1C">
        <w:t xml:space="preserve">enter for </w:t>
      </w:r>
      <w:r w:rsidR="000A7DE3">
        <w:t>A</w:t>
      </w:r>
      <w:r w:rsidR="006A0E1C">
        <w:t xml:space="preserve">merican </w:t>
      </w:r>
      <w:r w:rsidR="000A7DE3">
        <w:t>P</w:t>
      </w:r>
      <w:r w:rsidR="006A0E1C">
        <w:t xml:space="preserve">rogress, </w:t>
      </w:r>
      <w:r w:rsidR="000A7DE3">
        <w:t xml:space="preserve">founded </w:t>
      </w:r>
      <w:r w:rsidR="006A0E1C">
        <w:t>in 2003</w:t>
      </w:r>
      <w:r w:rsidR="000A7DE3">
        <w:t xml:space="preserve"> to </w:t>
      </w:r>
      <w:r w:rsidR="006A0E1C">
        <w:t xml:space="preserve">provide a progressive </w:t>
      </w:r>
      <w:r w:rsidR="000A7DE3">
        <w:t xml:space="preserve">counter </w:t>
      </w:r>
      <w:r w:rsidR="006A0E1C">
        <w:t xml:space="preserve">the conservative </w:t>
      </w:r>
      <w:r w:rsidR="00152C4B">
        <w:t>policy shops</w:t>
      </w:r>
      <w:r w:rsidR="000A7DE3">
        <w:t xml:space="preserve">.  </w:t>
      </w:r>
    </w:p>
    <w:p w:rsidR="008E1886" w:rsidRDefault="008E1886" w:rsidP="005D4FD0">
      <w:pPr>
        <w:pStyle w:val="ListParagraph"/>
        <w:ind w:left="45"/>
      </w:pPr>
    </w:p>
    <w:p w:rsidR="000A7DE3" w:rsidRPr="00856C9A" w:rsidRDefault="00F8451B" w:rsidP="005D4FD0">
      <w:pPr>
        <w:pStyle w:val="ListParagraph"/>
        <w:ind w:left="45"/>
      </w:pPr>
      <w:r>
        <w:t xml:space="preserve">Recognizing </w:t>
      </w:r>
      <w:r w:rsidR="007A0534">
        <w:t xml:space="preserve">the </w:t>
      </w:r>
      <w:r>
        <w:t>need for c</w:t>
      </w:r>
      <w:r w:rsidR="00E62FC8">
        <w:t>ontinued pushback on conservative judicial nominees</w:t>
      </w:r>
      <w:r>
        <w:t xml:space="preserve">, </w:t>
      </w:r>
      <w:r w:rsidR="00E62FC8">
        <w:t xml:space="preserve">OSF </w:t>
      </w:r>
      <w:r w:rsidR="008214C8">
        <w:t xml:space="preserve">also </w:t>
      </w:r>
      <w:r w:rsidR="00E62FC8">
        <w:t xml:space="preserve">began </w:t>
      </w:r>
      <w:r w:rsidR="008214C8">
        <w:t>to fund</w:t>
      </w:r>
      <w:r>
        <w:t xml:space="preserve"> </w:t>
      </w:r>
      <w:r w:rsidR="00E62FC8">
        <w:t>organizations that had been</w:t>
      </w:r>
      <w:r>
        <w:t xml:space="preserve"> active </w:t>
      </w:r>
      <w:r w:rsidR="00E62FC8">
        <w:t>on nominations</w:t>
      </w:r>
      <w:r>
        <w:t xml:space="preserve"> since </w:t>
      </w:r>
      <w:r w:rsidR="00E62FC8">
        <w:t xml:space="preserve">the Robert </w:t>
      </w:r>
      <w:r>
        <w:t>Bork</w:t>
      </w:r>
      <w:r w:rsidR="00E62FC8">
        <w:t xml:space="preserve"> hearings of the 1980s</w:t>
      </w:r>
      <w:r w:rsidR="008214C8">
        <w:t xml:space="preserve"> (</w:t>
      </w:r>
      <w:r w:rsidR="00E62FC8">
        <w:t xml:space="preserve">principally, the </w:t>
      </w:r>
      <w:r>
        <w:t>A</w:t>
      </w:r>
      <w:r w:rsidR="00E62FC8">
        <w:t xml:space="preserve">lliance for </w:t>
      </w:r>
      <w:r>
        <w:t>J</w:t>
      </w:r>
      <w:r w:rsidR="00E62FC8">
        <w:t>ustice</w:t>
      </w:r>
      <w:r w:rsidR="00AB323E">
        <w:t xml:space="preserve">, </w:t>
      </w:r>
      <w:r w:rsidR="00E62FC8">
        <w:t>People for the American Way</w:t>
      </w:r>
      <w:r w:rsidR="008214C8">
        <w:t xml:space="preserve"> Foundation</w:t>
      </w:r>
      <w:r w:rsidR="00AB323E">
        <w:t xml:space="preserve">, </w:t>
      </w:r>
      <w:r w:rsidR="00E62FC8">
        <w:t xml:space="preserve">and the </w:t>
      </w:r>
      <w:r w:rsidR="00AB323E">
        <w:t>Leadership Conf</w:t>
      </w:r>
      <w:r w:rsidR="00E62FC8">
        <w:t>er</w:t>
      </w:r>
      <w:r w:rsidR="0006237E">
        <w:t>ence for Civil and Human Rights</w:t>
      </w:r>
      <w:r w:rsidR="00AF4D72">
        <w:t xml:space="preserve"> (LCCHR)</w:t>
      </w:r>
      <w:r w:rsidR="0006237E">
        <w:t xml:space="preserve">, </w:t>
      </w:r>
      <w:r w:rsidR="008214C8">
        <w:t>which together led a Beltway-based judicial nominations partnership</w:t>
      </w:r>
      <w:r w:rsidR="00AB323E">
        <w:t xml:space="preserve">, </w:t>
      </w:r>
      <w:r w:rsidR="008214C8">
        <w:t xml:space="preserve">with </w:t>
      </w:r>
      <w:r w:rsidR="00AF4D72">
        <w:t xml:space="preserve">periodic </w:t>
      </w:r>
      <w:r w:rsidR="00AB323E">
        <w:t xml:space="preserve">activation </w:t>
      </w:r>
      <w:r w:rsidR="008214C8">
        <w:t xml:space="preserve">in the states </w:t>
      </w:r>
      <w:r w:rsidR="00AF4D72">
        <w:t>around Supreme Court and other especially critical nominations</w:t>
      </w:r>
      <w:r w:rsidR="008214C8">
        <w:t>)</w:t>
      </w:r>
      <w:r w:rsidR="00856C9A">
        <w:t>.</w:t>
      </w:r>
      <w:r w:rsidR="00856C9A">
        <w:rPr>
          <w:rStyle w:val="FootnoteReference"/>
        </w:rPr>
        <w:footnoteReference w:id="4"/>
      </w:r>
      <w:r w:rsidR="008E1886">
        <w:t xml:space="preserve">  Here </w:t>
      </w:r>
      <w:proofErr w:type="spellStart"/>
      <w:r w:rsidR="008E1886">
        <w:t>Kowal</w:t>
      </w:r>
      <w:proofErr w:type="spellEnd"/>
      <w:r w:rsidR="008E1886">
        <w:t xml:space="preserve"> made </w:t>
      </w:r>
      <w:r w:rsidR="0091738D">
        <w:t xml:space="preserve">what he calls </w:t>
      </w:r>
      <w:r w:rsidR="008E1886">
        <w:t>a “significant intervention,” elevating the LCCHR to a central role</w:t>
      </w:r>
      <w:r w:rsidR="00A46268">
        <w:rPr>
          <w:rStyle w:val="FootnoteReference"/>
        </w:rPr>
        <w:footnoteReference w:id="5"/>
      </w:r>
      <w:r w:rsidR="008E1886">
        <w:t xml:space="preserve"> because he perceived that Wade Henderson might provide a positive moral center to a field that needed a more principled set of messages than those in</w:t>
      </w:r>
      <w:r w:rsidR="00152C4B">
        <w:t xml:space="preserve"> constant</w:t>
      </w:r>
      <w:r w:rsidR="008E1886">
        <w:t xml:space="preserve"> rotation since the Bork years.</w:t>
      </w:r>
    </w:p>
    <w:p w:rsidR="00DF1257" w:rsidRDefault="00DF1257" w:rsidP="005D4FD0">
      <w:pPr>
        <w:pStyle w:val="ListParagraph"/>
        <w:ind w:left="45"/>
      </w:pPr>
    </w:p>
    <w:p w:rsidR="00856C9A" w:rsidRPr="00856C9A" w:rsidRDefault="00856C9A" w:rsidP="00856C9A">
      <w:pPr>
        <w:pStyle w:val="ListParagraph"/>
        <w:ind w:left="45"/>
      </w:pPr>
      <w:r>
        <w:t xml:space="preserve">Three </w:t>
      </w:r>
      <w:r w:rsidR="00DF1257">
        <w:t xml:space="preserve">other </w:t>
      </w:r>
      <w:r w:rsidR="00F113E9">
        <w:t xml:space="preserve">contextual matters </w:t>
      </w:r>
      <w:r w:rsidR="00DF1257">
        <w:t>deserve mention as we con</w:t>
      </w:r>
      <w:r w:rsidR="001325CF">
        <w:t xml:space="preserve">sider these parallel structures.  </w:t>
      </w:r>
      <w:r w:rsidR="001325CF" w:rsidRPr="00B74FF3">
        <w:rPr>
          <w:b/>
        </w:rPr>
        <w:t>First,</w:t>
      </w:r>
      <w:r w:rsidR="00DF1257" w:rsidRPr="00B74FF3">
        <w:rPr>
          <w:b/>
        </w:rPr>
        <w:t xml:space="preserve"> </w:t>
      </w:r>
      <w:r w:rsidR="00DF1257">
        <w:t xml:space="preserve">the Federalist Society </w:t>
      </w:r>
      <w:r w:rsidR="007A0534">
        <w:t xml:space="preserve">began at Yale Law School, but </w:t>
      </w:r>
      <w:r w:rsidR="00DF1257">
        <w:t xml:space="preserve">grew </w:t>
      </w:r>
      <w:r w:rsidR="007A0534">
        <w:t xml:space="preserve">with significant support from the </w:t>
      </w:r>
      <w:r w:rsidR="00DF1257">
        <w:t>Reagan White House</w:t>
      </w:r>
      <w:r w:rsidR="007A0534">
        <w:t xml:space="preserve">.  </w:t>
      </w:r>
      <w:r w:rsidR="00DF1257">
        <w:t xml:space="preserve">Attorney </w:t>
      </w:r>
      <w:r w:rsidR="00DF1257">
        <w:lastRenderedPageBreak/>
        <w:t>General Edwin Meese</w:t>
      </w:r>
      <w:r w:rsidR="00130CEE">
        <w:t>, whose “</w:t>
      </w:r>
      <w:hyperlink r:id="rId14" w:history="1">
        <w:r w:rsidR="00130CEE" w:rsidRPr="00130CEE">
          <w:rPr>
            <w:rStyle w:val="Hyperlink"/>
          </w:rPr>
          <w:t>focus was on the future</w:t>
        </w:r>
      </w:hyperlink>
      <w:r w:rsidR="00130CEE" w:rsidRPr="00130CEE">
        <w:t>—how Americans would view the Constitution, and how the courts would apply it, well aft</w:t>
      </w:r>
      <w:r w:rsidR="007A0534">
        <w:t>er President Reagan left office,</w:t>
      </w:r>
      <w:r w:rsidR="00130CEE" w:rsidRPr="00130CEE">
        <w:t>”</w:t>
      </w:r>
      <w:r w:rsidR="007A0534">
        <w:t xml:space="preserve"> took special interest.</w:t>
      </w:r>
      <w:r w:rsidR="00DF1257">
        <w:t xml:space="preserve">   By contrast, the progressive legal infrastructure described here came into being during a period of opposition, while there were few opportunities to exercise</w:t>
      </w:r>
      <w:r w:rsidR="00AA43AA">
        <w:t xml:space="preserve"> affirmative</w:t>
      </w:r>
      <w:r w:rsidR="00DF1257">
        <w:t xml:space="preserve"> legal muscle, either through seating allies on the courts, or by holding power and making policies in the Executive branch.</w:t>
      </w:r>
      <w:r w:rsidR="00B3270F">
        <w:t xml:space="preserve"> </w:t>
      </w:r>
      <w:r w:rsidR="006B121C" w:rsidRPr="00B74FF3">
        <w:rPr>
          <w:b/>
        </w:rPr>
        <w:t>Second</w:t>
      </w:r>
      <w:r w:rsidRPr="00B74FF3">
        <w:rPr>
          <w:b/>
        </w:rPr>
        <w:t>,</w:t>
      </w:r>
      <w:r w:rsidRPr="00555682">
        <w:t xml:space="preserve"> the Federalist Society drew upon a movement that viewed the courts as important, partially as a backlash against the perceived excesses of the Warren Court, and partly as tools of a conservative revolution.  </w:t>
      </w:r>
      <w:r w:rsidR="00B76E51">
        <w:t xml:space="preserve">The strength of this feeling was reflected in comments by </w:t>
      </w:r>
      <w:r w:rsidRPr="00555682">
        <w:t xml:space="preserve">David Keene, former president of the National Rifle Association, at </w:t>
      </w:r>
      <w:r w:rsidR="00555682">
        <w:t xml:space="preserve">a </w:t>
      </w:r>
      <w:r w:rsidRPr="00555682">
        <w:t>2014 OSF event</w:t>
      </w:r>
      <w:r w:rsidR="00555682">
        <w:t>,</w:t>
      </w:r>
      <w:r w:rsidRPr="00555682">
        <w:t xml:space="preserve"> </w:t>
      </w:r>
      <w:r w:rsidR="00B76E51">
        <w:t>when he attributed the NRA’s successes in changing the law of the Second Amend</w:t>
      </w:r>
      <w:r w:rsidR="00956604">
        <w:t>ment to conservative activists’</w:t>
      </w:r>
      <w:r w:rsidR="00B76E51">
        <w:t xml:space="preserve"> deeply-felt belief</w:t>
      </w:r>
      <w:r w:rsidRPr="00555682">
        <w:t xml:space="preserve"> that it was their job to </w:t>
      </w:r>
      <w:r w:rsidRPr="00B76E51">
        <w:rPr>
          <w:i/>
        </w:rPr>
        <w:t>restore</w:t>
      </w:r>
      <w:r w:rsidRPr="00555682">
        <w:t xml:space="preserve"> the Constitution</w:t>
      </w:r>
      <w:r w:rsidR="00B76E51">
        <w:t xml:space="preserve"> to its </w:t>
      </w:r>
      <w:r w:rsidR="007A0534">
        <w:t xml:space="preserve">original </w:t>
      </w:r>
      <w:r w:rsidR="00B76E51">
        <w:t>meaning</w:t>
      </w:r>
      <w:r w:rsidRPr="00555682">
        <w:t>.</w:t>
      </w:r>
      <w:r w:rsidRPr="00555682">
        <w:rPr>
          <w:rStyle w:val="FootnoteReference"/>
        </w:rPr>
        <w:footnoteReference w:id="6"/>
      </w:r>
      <w:r>
        <w:t xml:space="preserve">  </w:t>
      </w:r>
      <w:r w:rsidR="00152C4B">
        <w:rPr>
          <w:b/>
        </w:rPr>
        <w:t>Last</w:t>
      </w:r>
      <w:r w:rsidR="006B121C" w:rsidRPr="00B74FF3">
        <w:rPr>
          <w:b/>
        </w:rPr>
        <w:t>,</w:t>
      </w:r>
      <w:r w:rsidR="00152C4B">
        <w:rPr>
          <w:b/>
        </w:rPr>
        <w:t xml:space="preserve"> </w:t>
      </w:r>
      <w:r w:rsidR="00152C4B" w:rsidRPr="00922B13">
        <w:t>but certainly not least,</w:t>
      </w:r>
      <w:r w:rsidR="006B121C" w:rsidRPr="006B121C">
        <w:t xml:space="preserve"> the Federalist Society has always enjoyed a substantial funding advantage in both number of funders and total contributions</w:t>
      </w:r>
      <w:r w:rsidR="00F113E9">
        <w:t xml:space="preserve">.  Based on the 2013 990s for </w:t>
      </w:r>
      <w:r w:rsidR="00212904">
        <w:t>ACS and the Federalist Society</w:t>
      </w:r>
      <w:r w:rsidR="00F113E9">
        <w:t xml:space="preserve">, the Federalist Society </w:t>
      </w:r>
      <w:r w:rsidR="00AA43AA">
        <w:t>continues to enjoy</w:t>
      </w:r>
      <w:r w:rsidR="00F113E9">
        <w:t xml:space="preserve"> a </w:t>
      </w:r>
      <w:r w:rsidR="00F113E9" w:rsidRPr="00AA43AA">
        <w:rPr>
          <w:b/>
        </w:rPr>
        <w:t>4:1</w:t>
      </w:r>
      <w:r w:rsidR="00F113E9">
        <w:t xml:space="preserve"> funding advantage</w:t>
      </w:r>
      <w:r w:rsidR="006B121C" w:rsidRPr="006B121C">
        <w:t xml:space="preserve">. </w:t>
      </w:r>
    </w:p>
    <w:p w:rsidR="000A7DE3" w:rsidRDefault="000A7DE3" w:rsidP="005D4FD0">
      <w:pPr>
        <w:pStyle w:val="ListParagraph"/>
        <w:ind w:left="45"/>
      </w:pPr>
    </w:p>
    <w:p w:rsidR="00A155EC" w:rsidRDefault="00A35ACB" w:rsidP="00767F40">
      <w:pPr>
        <w:pStyle w:val="ListParagraph"/>
        <w:numPr>
          <w:ilvl w:val="0"/>
          <w:numId w:val="7"/>
        </w:numPr>
        <w:rPr>
          <w:b/>
        </w:rPr>
      </w:pPr>
      <w:r>
        <w:rPr>
          <w:b/>
        </w:rPr>
        <w:t xml:space="preserve">Obama Elected:  </w:t>
      </w:r>
      <w:r w:rsidR="00AF3DD6">
        <w:rPr>
          <w:b/>
        </w:rPr>
        <w:t>Smoother sailing?</w:t>
      </w:r>
      <w:r w:rsidR="00AB323E">
        <w:rPr>
          <w:b/>
        </w:rPr>
        <w:t xml:space="preserve">  </w:t>
      </w:r>
      <w:r w:rsidR="00AF3DD6">
        <w:rPr>
          <w:b/>
        </w:rPr>
        <w:t>(</w:t>
      </w:r>
      <w:r w:rsidR="00AB323E">
        <w:rPr>
          <w:b/>
        </w:rPr>
        <w:t>2008-09</w:t>
      </w:r>
      <w:r w:rsidR="00AF3DD6">
        <w:rPr>
          <w:b/>
        </w:rPr>
        <w:t>)</w:t>
      </w:r>
    </w:p>
    <w:p w:rsidR="00197862" w:rsidRDefault="00197862" w:rsidP="00197862">
      <w:pPr>
        <w:pStyle w:val="ListParagraph"/>
        <w:ind w:left="45"/>
      </w:pPr>
    </w:p>
    <w:p w:rsidR="002C060B" w:rsidRDefault="00A35ACB" w:rsidP="005D4FD0">
      <w:pPr>
        <w:pStyle w:val="ListParagraph"/>
        <w:ind w:left="45"/>
      </w:pPr>
      <w:r>
        <w:t xml:space="preserve">With a </w:t>
      </w:r>
      <w:r w:rsidR="007A0534">
        <w:t xml:space="preserve">left-leaning </w:t>
      </w:r>
      <w:r>
        <w:t>con</w:t>
      </w:r>
      <w:r w:rsidR="00A504CD">
        <w:t>stitutional</w:t>
      </w:r>
      <w:r>
        <w:t xml:space="preserve"> law professor in the White House,</w:t>
      </w:r>
      <w:r w:rsidR="005A69D7">
        <w:t xml:space="preserve"> and a filibuster-proof Democratic majority in the Senate, </w:t>
      </w:r>
      <w:r>
        <w:t xml:space="preserve">many in the progressive legal movement </w:t>
      </w:r>
      <w:r w:rsidR="00212904">
        <w:t xml:space="preserve">were eager to dust off the policies and legal theories created over the past eight years, and to remake the federal courts with progressive judges.  Many </w:t>
      </w:r>
      <w:r w:rsidR="00A504CD">
        <w:t xml:space="preserve">progressive legal </w:t>
      </w:r>
      <w:r>
        <w:t xml:space="preserve">advocates </w:t>
      </w:r>
      <w:hyperlink r:id="rId15" w:history="1">
        <w:r w:rsidR="00AF4D72" w:rsidRPr="00AF4D72">
          <w:rPr>
            <w:rStyle w:val="Hyperlink"/>
          </w:rPr>
          <w:t xml:space="preserve">took </w:t>
        </w:r>
        <w:r w:rsidRPr="00AF4D72">
          <w:rPr>
            <w:rStyle w:val="Hyperlink"/>
          </w:rPr>
          <w:t>positions in the executive branch,</w:t>
        </w:r>
      </w:hyperlink>
      <w:r>
        <w:t xml:space="preserve"> including Lisa Brown, then-E</w:t>
      </w:r>
      <w:r w:rsidR="004B2B0D">
        <w:t xml:space="preserve">xecutive </w:t>
      </w:r>
      <w:r>
        <w:t>D</w:t>
      </w:r>
      <w:r w:rsidR="004B2B0D">
        <w:t>irector</w:t>
      </w:r>
      <w:r>
        <w:t xml:space="preserve"> at ACS.  But a variety of factors (</w:t>
      </w:r>
      <w:r w:rsidR="00A504CD">
        <w:t xml:space="preserve">the failing </w:t>
      </w:r>
      <w:r>
        <w:t>economy, competing priorities</w:t>
      </w:r>
      <w:r w:rsidR="00A504CD">
        <w:t xml:space="preserve"> like passage of a comprehensive health care law</w:t>
      </w:r>
      <w:r>
        <w:t xml:space="preserve">, </w:t>
      </w:r>
      <w:r w:rsidR="00A504CD">
        <w:t xml:space="preserve">and perhaps more </w:t>
      </w:r>
      <w:r>
        <w:t xml:space="preserve">inherent disinterest in the courts) put legal and judicial development toward </w:t>
      </w:r>
      <w:r w:rsidR="004B2B0D">
        <w:t xml:space="preserve">the bottom of </w:t>
      </w:r>
      <w:r w:rsidR="00BD3BFC">
        <w:t xml:space="preserve">the Administration’s </w:t>
      </w:r>
      <w:r w:rsidR="004B2B0D">
        <w:t xml:space="preserve">long to-do list.  </w:t>
      </w:r>
    </w:p>
    <w:p w:rsidR="007A0534" w:rsidRDefault="007A0534" w:rsidP="005D4FD0">
      <w:pPr>
        <w:pStyle w:val="ListParagraph"/>
        <w:ind w:left="45"/>
      </w:pPr>
    </w:p>
    <w:p w:rsidR="002C060B" w:rsidRDefault="00C07F83" w:rsidP="005D4FD0">
      <w:pPr>
        <w:pStyle w:val="ListParagraph"/>
        <w:ind w:left="45"/>
      </w:pPr>
      <w:r w:rsidRPr="00C07F83">
        <w:t>But it wasn’t just the White House that had a role in the slow movement on judges.  Judicial nominees faced u</w:t>
      </w:r>
      <w:r w:rsidR="002C060B" w:rsidRPr="00C07F83">
        <w:t>nparalleled obstruction</w:t>
      </w:r>
      <w:r w:rsidRPr="00C07F83">
        <w:t xml:space="preserve"> from Senate R</w:t>
      </w:r>
      <w:r>
        <w:t>epublicans, who refused to turn in the blue slips</w:t>
      </w:r>
      <w:r>
        <w:rPr>
          <w:rStyle w:val="FootnoteReference"/>
        </w:rPr>
        <w:footnoteReference w:id="7"/>
      </w:r>
      <w:r>
        <w:t xml:space="preserve"> that permit nominees to receive a Judiciary Committee hearing</w:t>
      </w:r>
      <w:r w:rsidR="005A69D7">
        <w:t>,</w:t>
      </w:r>
      <w:r>
        <w:t xml:space="preserve"> and who threatened to filibuster nominees who would have once sailed through the process.  Where once these tools were reserved for</w:t>
      </w:r>
      <w:r w:rsidR="005A69D7">
        <w:t xml:space="preserve"> especially contentious</w:t>
      </w:r>
      <w:r>
        <w:t xml:space="preserve"> Circuit Court nominees, more and more District Court seats were caught up in the gamesmanship.  Senate Democrats slowed the process as well, failing to turn in blue slips in a timely manner.  Furthermore, Senate Democratic leadership did not devote the floor time necessary to call the Republicans’ bluff on the filibuster threat.  </w:t>
      </w:r>
      <w:r w:rsidRPr="00C07F83">
        <w:t xml:space="preserve">By November 2009, </w:t>
      </w:r>
      <w:r w:rsidRPr="00C07F83">
        <w:rPr>
          <w:i/>
        </w:rPr>
        <w:t>The New York Times</w:t>
      </w:r>
      <w:r w:rsidRPr="00C07F83">
        <w:t xml:space="preserve"> </w:t>
      </w:r>
      <w:hyperlink r:id="rId16" w:history="1">
        <w:r w:rsidR="00212904">
          <w:rPr>
            <w:rStyle w:val="Hyperlink"/>
          </w:rPr>
          <w:t>decried</w:t>
        </w:r>
        <w:r w:rsidRPr="00C07F83">
          <w:rPr>
            <w:rStyle w:val="Hyperlink"/>
          </w:rPr>
          <w:t xml:space="preserve"> the Obama Administration’s slow pace in nominations</w:t>
        </w:r>
      </w:hyperlink>
      <w:r w:rsidRPr="00C07F83">
        <w:t xml:space="preserve">, comparing it unfavorably to the George W. Bush Administration.  </w:t>
      </w:r>
    </w:p>
    <w:p w:rsidR="004904C6" w:rsidRDefault="004904C6" w:rsidP="005D4FD0">
      <w:pPr>
        <w:pStyle w:val="ListParagraph"/>
        <w:ind w:left="45"/>
      </w:pPr>
    </w:p>
    <w:p w:rsidR="00AB323E" w:rsidRDefault="004B2B0D" w:rsidP="005D4FD0">
      <w:pPr>
        <w:pStyle w:val="ListParagraph"/>
        <w:ind w:left="45"/>
      </w:pPr>
      <w:r>
        <w:t>At the same time</w:t>
      </w:r>
      <w:r w:rsidR="00AB323E">
        <w:t xml:space="preserve">, </w:t>
      </w:r>
      <w:r w:rsidR="00AF4D72">
        <w:t xml:space="preserve">USP was reorganizing, </w:t>
      </w:r>
      <w:r w:rsidR="002B7083">
        <w:t>which involved</w:t>
      </w:r>
      <w:r w:rsidR="000F7B21">
        <w:t xml:space="preserve"> </w:t>
      </w:r>
      <w:r w:rsidR="00AF4D72">
        <w:t>clos</w:t>
      </w:r>
      <w:r w:rsidR="002B7083">
        <w:t xml:space="preserve">ing </w:t>
      </w:r>
      <w:r w:rsidR="00AF4D72">
        <w:t>some portfolios and rearrang</w:t>
      </w:r>
      <w:r w:rsidR="002B7083">
        <w:t xml:space="preserve">ing </w:t>
      </w:r>
      <w:r w:rsidR="00AF4D72">
        <w:t>others.  In part because federal judicial nominations work</w:t>
      </w:r>
      <w:r w:rsidR="008366F5">
        <w:t xml:space="preserve"> was deemed </w:t>
      </w:r>
      <w:r w:rsidR="00C0751D">
        <w:t xml:space="preserve">(correctly) </w:t>
      </w:r>
      <w:r w:rsidR="008366F5">
        <w:t xml:space="preserve">likely to continue </w:t>
      </w:r>
      <w:r w:rsidR="00AF4D72">
        <w:t>even in the absence of OSF</w:t>
      </w:r>
      <w:r w:rsidR="00F91364">
        <w:t xml:space="preserve"> project</w:t>
      </w:r>
      <w:r w:rsidR="00AF4D72">
        <w:t xml:space="preserve"> funding</w:t>
      </w:r>
      <w:r>
        <w:t xml:space="preserve">, </w:t>
      </w:r>
      <w:r w:rsidR="00AF4D72">
        <w:t>USP’s federal nominations portfolio closed with a</w:t>
      </w:r>
      <w:r>
        <w:t xml:space="preserve"> tie-</w:t>
      </w:r>
      <w:r w:rsidR="00AB323E">
        <w:t xml:space="preserve">off </w:t>
      </w:r>
      <w:r>
        <w:t xml:space="preserve">grant to </w:t>
      </w:r>
      <w:r w:rsidR="00AB323E">
        <w:t>AFJ</w:t>
      </w:r>
      <w:r w:rsidR="00F91364">
        <w:t>.</w:t>
      </w:r>
      <w:r w:rsidR="00F91364">
        <w:rPr>
          <w:rStyle w:val="FootnoteReference"/>
        </w:rPr>
        <w:footnoteReference w:id="8"/>
      </w:r>
    </w:p>
    <w:p w:rsidR="00976F46" w:rsidRDefault="00976F46" w:rsidP="005D4FD0">
      <w:pPr>
        <w:pStyle w:val="ListParagraph"/>
        <w:ind w:left="45"/>
      </w:pPr>
    </w:p>
    <w:p w:rsidR="00FF7BB4" w:rsidRPr="00311735" w:rsidRDefault="00BC1B67" w:rsidP="00767F40">
      <w:pPr>
        <w:pStyle w:val="ListParagraph"/>
        <w:numPr>
          <w:ilvl w:val="0"/>
          <w:numId w:val="7"/>
        </w:numPr>
        <w:rPr>
          <w:b/>
        </w:rPr>
      </w:pPr>
      <w:r>
        <w:rPr>
          <w:b/>
        </w:rPr>
        <w:t>The Honeymoon Ends</w:t>
      </w:r>
      <w:r w:rsidR="00311735">
        <w:rPr>
          <w:b/>
        </w:rPr>
        <w:t xml:space="preserve">:  </w:t>
      </w:r>
      <w:r w:rsidR="007E486E">
        <w:rPr>
          <w:b/>
        </w:rPr>
        <w:t>C</w:t>
      </w:r>
      <w:r w:rsidR="00311735">
        <w:rPr>
          <w:b/>
        </w:rPr>
        <w:t xml:space="preserve">ourse correction </w:t>
      </w:r>
      <w:r w:rsidR="00AC4040">
        <w:rPr>
          <w:b/>
        </w:rPr>
        <w:t>(</w:t>
      </w:r>
      <w:r w:rsidR="00311735">
        <w:rPr>
          <w:b/>
        </w:rPr>
        <w:t>2010-11</w:t>
      </w:r>
      <w:r w:rsidR="00AC4040">
        <w:rPr>
          <w:b/>
        </w:rPr>
        <w:t>)</w:t>
      </w:r>
    </w:p>
    <w:p w:rsidR="00AB323E" w:rsidRDefault="00AB323E" w:rsidP="005D4FD0">
      <w:pPr>
        <w:pStyle w:val="ListParagraph"/>
        <w:ind w:left="45"/>
      </w:pPr>
    </w:p>
    <w:p w:rsidR="00BC1B67" w:rsidRDefault="00FE2E64" w:rsidP="00D84C73">
      <w:pPr>
        <w:pStyle w:val="ListParagraph"/>
        <w:ind w:left="45"/>
      </w:pPr>
      <w:r w:rsidRPr="0035609E">
        <w:t>By 2010, there was a g</w:t>
      </w:r>
      <w:r w:rsidR="002D0C31" w:rsidRPr="0035609E">
        <w:t xml:space="preserve">rowing </w:t>
      </w:r>
      <w:r w:rsidR="0035609E" w:rsidRPr="0035609E">
        <w:t xml:space="preserve">feeling </w:t>
      </w:r>
      <w:r w:rsidR="002D0C31" w:rsidRPr="0035609E">
        <w:t>that</w:t>
      </w:r>
      <w:r w:rsidR="00976F46" w:rsidRPr="0035609E">
        <w:t xml:space="preserve"> </w:t>
      </w:r>
      <w:r w:rsidR="0035609E" w:rsidRPr="0035609E">
        <w:t xml:space="preserve">the </w:t>
      </w:r>
      <w:r w:rsidR="00976F46" w:rsidRPr="0035609E">
        <w:t xml:space="preserve">hopes and expectations people had for </w:t>
      </w:r>
      <w:r w:rsidR="0035609E" w:rsidRPr="0035609E">
        <w:t xml:space="preserve">an </w:t>
      </w:r>
      <w:r w:rsidR="00976F46" w:rsidRPr="0035609E">
        <w:t>Obama Administration</w:t>
      </w:r>
      <w:r w:rsidR="002D0C31" w:rsidRPr="0035609E">
        <w:t xml:space="preserve"> </w:t>
      </w:r>
      <w:r w:rsidR="0035609E" w:rsidRPr="0035609E">
        <w:t xml:space="preserve">that would swiftly </w:t>
      </w:r>
      <w:r w:rsidRPr="0035609E">
        <w:t xml:space="preserve">transform </w:t>
      </w:r>
      <w:r w:rsidR="00BD498E" w:rsidRPr="0035609E">
        <w:t xml:space="preserve">federal policies and </w:t>
      </w:r>
      <w:r w:rsidRPr="0035609E">
        <w:t>courts</w:t>
      </w:r>
      <w:r w:rsidR="0035609E" w:rsidRPr="0035609E">
        <w:t xml:space="preserve"> </w:t>
      </w:r>
      <w:r w:rsidR="00BD3BFC">
        <w:t>would not be</w:t>
      </w:r>
      <w:r w:rsidR="0035609E" w:rsidRPr="0035609E">
        <w:t xml:space="preserve"> met</w:t>
      </w:r>
      <w:r w:rsidRPr="0035609E">
        <w:t>.</w:t>
      </w:r>
      <w:r>
        <w:t xml:space="preserve">  </w:t>
      </w:r>
      <w:r w:rsidR="001A5BBB">
        <w:t xml:space="preserve">Republicans regained the House and ended the Democratic filibuster-proof majority in the Senate.  Even with Democrats controlling the White House, Senate and House, a </w:t>
      </w:r>
      <w:r>
        <w:t>traditional inside-the-</w:t>
      </w:r>
      <w:r w:rsidR="002D0C31" w:rsidRPr="002A6479">
        <w:t>Beltway approach</w:t>
      </w:r>
      <w:r>
        <w:t xml:space="preserve"> </w:t>
      </w:r>
      <w:r w:rsidR="007A0534">
        <w:t>had not worked</w:t>
      </w:r>
      <w:r w:rsidR="002D0C31" w:rsidRPr="002A6479">
        <w:t xml:space="preserve"> </w:t>
      </w:r>
      <w:r w:rsidR="00BC1B67">
        <w:t>to ensure either progressive victories on judicial and executive branch nominations,</w:t>
      </w:r>
      <w:r w:rsidR="002D0C31" w:rsidRPr="002A6479">
        <w:t xml:space="preserve"> or </w:t>
      </w:r>
      <w:r w:rsidR="00BC1B67">
        <w:t xml:space="preserve">a robust </w:t>
      </w:r>
      <w:r w:rsidR="00780BE8">
        <w:t xml:space="preserve">embrace of the progressive policies </w:t>
      </w:r>
      <w:r w:rsidR="0004237A">
        <w:t xml:space="preserve">OSF’s </w:t>
      </w:r>
      <w:r w:rsidR="00780BE8">
        <w:t>infrastructure groups had been proposing while in exile</w:t>
      </w:r>
      <w:r w:rsidR="002D0C31" w:rsidRPr="002A6479">
        <w:t xml:space="preserve">.  </w:t>
      </w:r>
      <w:r w:rsidR="005D769E" w:rsidRPr="007352C9">
        <w:t xml:space="preserve">Staff at OSF had virtually no faith in the existing </w:t>
      </w:r>
      <w:r w:rsidR="0004237A">
        <w:t xml:space="preserve">judicial nominations </w:t>
      </w:r>
      <w:r w:rsidR="005D769E" w:rsidRPr="007352C9">
        <w:t>coalition, viewing them as lacking creativity and resilience, and stuck in a combative and unproductive mode</w:t>
      </w:r>
      <w:r w:rsidR="005D769E">
        <w:t xml:space="preserve">.  </w:t>
      </w:r>
      <w:r w:rsidR="00BC1B67">
        <w:t xml:space="preserve">ACS members complained that the organization was unable to deliver positions in the Administration or on the Hill with power similar to the Federalist Society.  </w:t>
      </w:r>
      <w:r w:rsidR="00F4603D">
        <w:t xml:space="preserve">In the midst of this angst, in 2011, </w:t>
      </w:r>
      <w:r>
        <w:t xml:space="preserve">OSF undertook a full analysis of </w:t>
      </w:r>
      <w:r w:rsidR="00F4603D">
        <w:t xml:space="preserve">ACS’s </w:t>
      </w:r>
      <w:r>
        <w:t xml:space="preserve">strengths and weaknesses </w:t>
      </w:r>
      <w:r w:rsidR="00222E93">
        <w:t xml:space="preserve">(the </w:t>
      </w:r>
      <w:r w:rsidR="0075225B">
        <w:t xml:space="preserve">OSF </w:t>
      </w:r>
      <w:r w:rsidR="00222E93">
        <w:t>Report)</w:t>
      </w:r>
      <w:r w:rsidR="00F4603D">
        <w:t xml:space="preserve"> in an effort to understand the impact of OSF’s investment in the organization and the field at the </w:t>
      </w:r>
      <w:r w:rsidR="000B1DCD">
        <w:t xml:space="preserve">nearly </w:t>
      </w:r>
      <w:r w:rsidR="00F4603D">
        <w:t>10-year mark</w:t>
      </w:r>
      <w:r>
        <w:t xml:space="preserve">.  </w:t>
      </w:r>
    </w:p>
    <w:p w:rsidR="00BC1B67" w:rsidRDefault="00BC1B67" w:rsidP="00D84C73">
      <w:pPr>
        <w:pStyle w:val="ListParagraph"/>
        <w:ind w:left="45"/>
      </w:pPr>
    </w:p>
    <w:p w:rsidR="00D84C73" w:rsidRDefault="00F4603D" w:rsidP="00BD3BFC">
      <w:pPr>
        <w:pStyle w:val="ListParagraph"/>
        <w:ind w:left="45"/>
      </w:pPr>
      <w:r>
        <w:t>In the preceding year</w:t>
      </w:r>
      <w:r w:rsidR="002D0C31" w:rsidRPr="002A6479">
        <w:t xml:space="preserve">, </w:t>
      </w:r>
      <w:r w:rsidR="00657CEB">
        <w:t xml:space="preserve">Laleh Ispahani and </w:t>
      </w:r>
      <w:r w:rsidR="002D0C31" w:rsidRPr="002A6479">
        <w:t xml:space="preserve">Tom </w:t>
      </w:r>
      <w:r w:rsidR="00BC1B67">
        <w:t xml:space="preserve">Hilbink </w:t>
      </w:r>
      <w:r w:rsidR="00BD3BFC">
        <w:t xml:space="preserve">brought </w:t>
      </w:r>
      <w:r w:rsidR="00D84C73">
        <w:t>the Wyss Foundation</w:t>
      </w:r>
      <w:r w:rsidR="007E486E">
        <w:t xml:space="preserve"> in as a new funder to this work</w:t>
      </w:r>
      <w:r w:rsidR="00BD3BFC">
        <w:t>,</w:t>
      </w:r>
      <w:r w:rsidR="00D84C73">
        <w:t xml:space="preserve"> and </w:t>
      </w:r>
      <w:r w:rsidR="00976F46">
        <w:t>developed</w:t>
      </w:r>
      <w:r w:rsidR="00D84C73">
        <w:t xml:space="preserve"> relationships with </w:t>
      </w:r>
      <w:r w:rsidR="00197862">
        <w:t>existing</w:t>
      </w:r>
      <w:r w:rsidR="00D84C73">
        <w:t xml:space="preserve"> funder the Sandler Foundation.  With few other </w:t>
      </w:r>
      <w:r w:rsidR="007E486E">
        <w:t>partners in this area</w:t>
      </w:r>
      <w:r w:rsidR="00197862">
        <w:t xml:space="preserve">, the </w:t>
      </w:r>
      <w:r w:rsidR="00BD3BFC">
        <w:t xml:space="preserve">three </w:t>
      </w:r>
      <w:r w:rsidR="00197862">
        <w:t>f</w:t>
      </w:r>
      <w:r w:rsidR="00D84C73">
        <w:t xml:space="preserve">oundations </w:t>
      </w:r>
      <w:r w:rsidR="003D0380">
        <w:t>began to work</w:t>
      </w:r>
      <w:r w:rsidR="00D84C73">
        <w:t xml:space="preserve"> together to </w:t>
      </w:r>
      <w:r w:rsidR="002D0C31" w:rsidRPr="002A6479">
        <w:t xml:space="preserve">determine what could be done to foster a more effective field.  </w:t>
      </w:r>
      <w:r w:rsidR="00034A2B">
        <w:t xml:space="preserve">Based on early discussions with the </w:t>
      </w:r>
      <w:r w:rsidR="00BD3BFC">
        <w:t xml:space="preserve">consultant coordinating the </w:t>
      </w:r>
      <w:r w:rsidR="008D7DC6">
        <w:t>OSF</w:t>
      </w:r>
      <w:r w:rsidR="00034A2B">
        <w:t xml:space="preserve"> R</w:t>
      </w:r>
      <w:r w:rsidR="008D7DC6">
        <w:t>eport</w:t>
      </w:r>
      <w:r w:rsidR="00034A2B">
        <w:t xml:space="preserve">, it became clear that </w:t>
      </w:r>
      <w:r w:rsidR="00117BCC">
        <w:t xml:space="preserve">member </w:t>
      </w:r>
      <w:r w:rsidR="00D84C73">
        <w:t>eng</w:t>
      </w:r>
      <w:r w:rsidR="00770550">
        <w:t>agement</w:t>
      </w:r>
      <w:r w:rsidR="00034A2B">
        <w:t xml:space="preserve"> was an area of weakness</w:t>
      </w:r>
      <w:r w:rsidR="00D84C73">
        <w:t xml:space="preserve">.  </w:t>
      </w:r>
      <w:r w:rsidR="002D0C31" w:rsidRPr="002A6479">
        <w:t xml:space="preserve"> </w:t>
      </w:r>
      <w:r w:rsidR="005D769E">
        <w:t>That</w:t>
      </w:r>
      <w:r w:rsidR="00034A2B">
        <w:t xml:space="preserve"> preliminary feedback</w:t>
      </w:r>
      <w:r w:rsidR="005D769E">
        <w:t>, together with</w:t>
      </w:r>
      <w:r w:rsidR="00034A2B">
        <w:t xml:space="preserve"> initial </w:t>
      </w:r>
      <w:r w:rsidR="00197862">
        <w:t>conversations among</w:t>
      </w:r>
      <w:r w:rsidR="00D84C73">
        <w:t xml:space="preserve"> the funder group, </w:t>
      </w:r>
      <w:r w:rsidR="005D769E">
        <w:t xml:space="preserve">led </w:t>
      </w:r>
      <w:r w:rsidR="00D84C73">
        <w:t xml:space="preserve">the </w:t>
      </w:r>
      <w:r w:rsidR="002D0C31" w:rsidRPr="002A6479">
        <w:t>Sandler</w:t>
      </w:r>
      <w:r w:rsidR="00D84C73">
        <w:t xml:space="preserve"> Foundation </w:t>
      </w:r>
      <w:r w:rsidR="005D769E">
        <w:t>to jump</w:t>
      </w:r>
      <w:r w:rsidR="00034A2B">
        <w:t xml:space="preserve"> ahead, </w:t>
      </w:r>
      <w:r w:rsidR="00D84C73">
        <w:t>insist</w:t>
      </w:r>
      <w:r w:rsidR="00034A2B">
        <w:t>ing</w:t>
      </w:r>
      <w:r w:rsidR="00BD3BFC">
        <w:t>--</w:t>
      </w:r>
      <w:r w:rsidR="00034A2B">
        <w:t>without coordinating with OSF or Wyss</w:t>
      </w:r>
      <w:r w:rsidR="00BD3BFC">
        <w:t>--</w:t>
      </w:r>
      <w:r w:rsidR="00D84C73">
        <w:t xml:space="preserve">that ACS make changes to its organizational structure </w:t>
      </w:r>
      <w:r w:rsidR="00770550">
        <w:t xml:space="preserve">that would focus resources </w:t>
      </w:r>
      <w:r w:rsidR="00E4788E">
        <w:t>to</w:t>
      </w:r>
      <w:r w:rsidR="00770550">
        <w:t xml:space="preserve"> </w:t>
      </w:r>
      <w:r w:rsidR="00D84C73">
        <w:t>better engage m</w:t>
      </w:r>
      <w:r w:rsidR="00117BCC">
        <w:t>embers and coordinate activities in its chapters</w:t>
      </w:r>
      <w:r w:rsidR="00D84C73">
        <w:t xml:space="preserve">.  </w:t>
      </w:r>
      <w:r w:rsidR="005D769E">
        <w:t>Later in 2011</w:t>
      </w:r>
      <w:r w:rsidR="004B21F2">
        <w:t xml:space="preserve">, after </w:t>
      </w:r>
      <w:r w:rsidR="0093641B">
        <w:t xml:space="preserve">OSF </w:t>
      </w:r>
      <w:r w:rsidR="004B21F2">
        <w:t>shar</w:t>
      </w:r>
      <w:r w:rsidR="0093641B">
        <w:t>ed</w:t>
      </w:r>
      <w:r w:rsidR="004B21F2">
        <w:t xml:space="preserve"> the OSF Report with ACS, </w:t>
      </w:r>
      <w:r w:rsidR="0093641B">
        <w:t xml:space="preserve">we </w:t>
      </w:r>
      <w:r w:rsidR="007E486E">
        <w:t xml:space="preserve">further </w:t>
      </w:r>
      <w:r w:rsidR="0093641B">
        <w:t xml:space="preserve">conditioned </w:t>
      </w:r>
      <w:r w:rsidR="004B21F2">
        <w:t xml:space="preserve">grant </w:t>
      </w:r>
      <w:r w:rsidR="005D769E">
        <w:t xml:space="preserve">renewal </w:t>
      </w:r>
      <w:r w:rsidR="0093641B">
        <w:t>on</w:t>
      </w:r>
      <w:r w:rsidR="004B21F2">
        <w:t xml:space="preserve"> attention to membership, evaluation, mission and engagement—a negotiated general support grant before we used that term.  </w:t>
      </w:r>
    </w:p>
    <w:p w:rsidR="00D84C73" w:rsidRDefault="00D84C73" w:rsidP="00D84C73">
      <w:pPr>
        <w:pStyle w:val="ListParagraph"/>
        <w:ind w:left="45"/>
      </w:pPr>
    </w:p>
    <w:p w:rsidR="00AC4040" w:rsidRDefault="00F4603D" w:rsidP="00AC4040">
      <w:pPr>
        <w:pStyle w:val="ListParagraph"/>
        <w:ind w:left="45"/>
      </w:pPr>
      <w:r>
        <w:t xml:space="preserve">In </w:t>
      </w:r>
      <w:r w:rsidR="0093641B">
        <w:t xml:space="preserve">2010, </w:t>
      </w:r>
      <w:r>
        <w:t>the year leading up to the OSF’s Report’</w:t>
      </w:r>
      <w:r w:rsidR="0004237A">
        <w:t>s commission,</w:t>
      </w:r>
      <w:r>
        <w:t xml:space="preserve"> the </w:t>
      </w:r>
      <w:r w:rsidR="00D84C73">
        <w:t>Wyss</w:t>
      </w:r>
      <w:r w:rsidR="0004237A">
        <w:t xml:space="preserve"> Foundation</w:t>
      </w:r>
      <w:r w:rsidR="00D84C73">
        <w:t xml:space="preserve"> </w:t>
      </w:r>
      <w:r>
        <w:t xml:space="preserve">made </w:t>
      </w:r>
      <w:r w:rsidR="002D0C31" w:rsidRPr="002A6479">
        <w:t>big, new investment</w:t>
      </w:r>
      <w:r w:rsidR="00D84C73">
        <w:t>s</w:t>
      </w:r>
      <w:r w:rsidR="002D0C31" w:rsidRPr="002A6479">
        <w:t xml:space="preserve"> in</w:t>
      </w:r>
      <w:r w:rsidR="00AC4040">
        <w:t xml:space="preserve"> a co-funded federal judiciary program involving ACS, CAC and CAP</w:t>
      </w:r>
      <w:r w:rsidR="002D0C31" w:rsidRPr="002A6479">
        <w:t>.</w:t>
      </w:r>
      <w:r w:rsidR="00BD498E" w:rsidRPr="00BD498E">
        <w:rPr>
          <w:rStyle w:val="FootnoteReference"/>
        </w:rPr>
        <w:t xml:space="preserve"> </w:t>
      </w:r>
      <w:r w:rsidR="00BD498E">
        <w:rPr>
          <w:rStyle w:val="FootnoteReference"/>
        </w:rPr>
        <w:footnoteReference w:id="9"/>
      </w:r>
      <w:r w:rsidR="009C3A15" w:rsidRPr="002A6479">
        <w:t xml:space="preserve">  </w:t>
      </w:r>
      <w:r w:rsidR="00D84C73">
        <w:t xml:space="preserve">The </w:t>
      </w:r>
      <w:r w:rsidR="00770550">
        <w:t xml:space="preserve">Wyss Foundation </w:t>
      </w:r>
      <w:r w:rsidR="00D84C73">
        <w:t>judicial nomina</w:t>
      </w:r>
      <w:r w:rsidR="00770550">
        <w:t>tions program grant provided ACS an</w:t>
      </w:r>
      <w:r w:rsidR="00D84C73">
        <w:t xml:space="preserve"> experiment in how to engage its membership in a more direct and </w:t>
      </w:r>
      <w:r w:rsidR="00770550">
        <w:t xml:space="preserve">reciprocal </w:t>
      </w:r>
      <w:r w:rsidR="00D84C73">
        <w:t xml:space="preserve">way, which meant that when the OSF </w:t>
      </w:r>
      <w:r w:rsidR="003D0380">
        <w:t xml:space="preserve">Report </w:t>
      </w:r>
      <w:r w:rsidR="0093641B">
        <w:t xml:space="preserve">of 2011 </w:t>
      </w:r>
      <w:r w:rsidR="003D0380">
        <w:t xml:space="preserve">suggested that </w:t>
      </w:r>
      <w:proofErr w:type="gramStart"/>
      <w:r w:rsidR="003D0380">
        <w:t>engagement</w:t>
      </w:r>
      <w:proofErr w:type="gramEnd"/>
      <w:r w:rsidR="00770550">
        <w:t xml:space="preserve"> was a necessary component of meaningful membership</w:t>
      </w:r>
      <w:r w:rsidR="00D84C73">
        <w:t xml:space="preserve">, ACS had some track record on which to build.  </w:t>
      </w:r>
      <w:r w:rsidR="00AC4040">
        <w:t xml:space="preserve">In </w:t>
      </w:r>
      <w:r w:rsidR="00770550">
        <w:t xml:space="preserve">the ACS/Legal Progress/CAC </w:t>
      </w:r>
      <w:r w:rsidR="004A7A38">
        <w:t>collaboration, the principals</w:t>
      </w:r>
      <w:r w:rsidR="00AC4040">
        <w:t xml:space="preserve"> of each organization worked together to pursue an inside game—sometimes working within the existing nominations group, and sometimes outside it—to increase pressure to up the pace of nominations.  </w:t>
      </w:r>
      <w:r w:rsidR="00770550">
        <w:t>The project engaged</w:t>
      </w:r>
      <w:r w:rsidR="00AC4040">
        <w:t xml:space="preserve"> ACS’s </w:t>
      </w:r>
      <w:proofErr w:type="spellStart"/>
      <w:r w:rsidR="00AC4040">
        <w:t>grasstops</w:t>
      </w:r>
      <w:proofErr w:type="spellEnd"/>
      <w:r w:rsidR="00AC4040">
        <w:t xml:space="preserve"> members as vocal advocates with </w:t>
      </w:r>
      <w:r w:rsidR="00AC4040">
        <w:lastRenderedPageBreak/>
        <w:t>the White House and Senators;</w:t>
      </w:r>
      <w:r w:rsidR="005970CD">
        <w:rPr>
          <w:rStyle w:val="FootnoteReference"/>
        </w:rPr>
        <w:footnoteReference w:id="10"/>
      </w:r>
      <w:r w:rsidR="00AC4040">
        <w:t xml:space="preserve"> CAP’s research, communic</w:t>
      </w:r>
      <w:r w:rsidR="00770550">
        <w:t>ations and Washington influence;</w:t>
      </w:r>
      <w:r w:rsidR="00AC4040">
        <w:t xml:space="preserve"> and CAC’s litigation and research shop to develop and defend the judicial philosophy of n</w:t>
      </w:r>
      <w:r w:rsidR="004A7A38">
        <w:t>ominees and potential nominees.</w:t>
      </w:r>
      <w:r w:rsidR="00D52FBF">
        <w:rPr>
          <w:rStyle w:val="FootnoteReference"/>
        </w:rPr>
        <w:footnoteReference w:id="11"/>
      </w:r>
      <w:r w:rsidR="004A7A38">
        <w:t xml:space="preserve">  </w:t>
      </w:r>
      <w:r w:rsidR="00770550">
        <w:t xml:space="preserve">These efforts received largely positive feedback from the White House and Senators, and the concerted </w:t>
      </w:r>
      <w:proofErr w:type="spellStart"/>
      <w:r w:rsidR="00770550">
        <w:t>grasstops</w:t>
      </w:r>
      <w:proofErr w:type="spellEnd"/>
      <w:r w:rsidR="00770550">
        <w:t xml:space="preserve"> engagement had real payoffs in building </w:t>
      </w:r>
      <w:r w:rsidR="00893D1E">
        <w:t xml:space="preserve">political </w:t>
      </w:r>
      <w:r w:rsidR="00770550">
        <w:t>momentum fo</w:t>
      </w:r>
      <w:r w:rsidR="00F17D76">
        <w:t xml:space="preserve">r more aggressive nominations.  </w:t>
      </w:r>
      <w:r w:rsidR="00702164">
        <w:t xml:space="preserve">Not surprisingly, </w:t>
      </w:r>
      <w:r w:rsidR="007352C9" w:rsidRPr="007352C9">
        <w:t xml:space="preserve">the traditional </w:t>
      </w:r>
      <w:r w:rsidR="00657CEB" w:rsidRPr="007352C9">
        <w:t xml:space="preserve">nominations groups </w:t>
      </w:r>
      <w:r w:rsidR="007352C9" w:rsidRPr="007352C9">
        <w:t xml:space="preserve">felt </w:t>
      </w:r>
      <w:r w:rsidR="00702164">
        <w:t xml:space="preserve">the </w:t>
      </w:r>
      <w:r w:rsidR="005D769E">
        <w:t xml:space="preserve">deep </w:t>
      </w:r>
      <w:r w:rsidR="007A0534" w:rsidRPr="007352C9">
        <w:t>criticism</w:t>
      </w:r>
      <w:r w:rsidR="00E14264" w:rsidRPr="007352C9">
        <w:t xml:space="preserve"> </w:t>
      </w:r>
      <w:r w:rsidR="00702164">
        <w:t xml:space="preserve">that was </w:t>
      </w:r>
      <w:r w:rsidR="005D769E">
        <w:t xml:space="preserve">reflected in the Wyss project and in OSF’s turn to </w:t>
      </w:r>
      <w:r w:rsidR="00702164">
        <w:t xml:space="preserve">a new judicial nominations strategy </w:t>
      </w:r>
      <w:r w:rsidR="005D769E">
        <w:t>(discussed below)</w:t>
      </w:r>
      <w:r w:rsidR="00E14264" w:rsidRPr="007352C9">
        <w:t>.</w:t>
      </w:r>
      <w:r w:rsidR="00E14264">
        <w:t xml:space="preserve">  I</w:t>
      </w:r>
      <w:r w:rsidR="00657CEB">
        <w:t xml:space="preserve">ndeed, in some cases the </w:t>
      </w:r>
      <w:r w:rsidR="00E14264">
        <w:t xml:space="preserve">Wyss </w:t>
      </w:r>
      <w:r w:rsidR="00657CEB">
        <w:t xml:space="preserve">coalition was able to </w:t>
      </w:r>
      <w:r w:rsidR="00893D1E">
        <w:t xml:space="preserve">achieve </w:t>
      </w:r>
      <w:r w:rsidR="00E14264">
        <w:t>behind-the-scenes progress by adopting</w:t>
      </w:r>
      <w:r w:rsidR="00657CEB">
        <w:t xml:space="preserve"> a </w:t>
      </w:r>
      <w:r w:rsidR="00E14264">
        <w:t>less aggressive public posture</w:t>
      </w:r>
      <w:r w:rsidR="008D2797">
        <w:t xml:space="preserve"> than the traditional groups,</w:t>
      </w:r>
      <w:r w:rsidR="00E14264">
        <w:t xml:space="preserve"> </w:t>
      </w:r>
      <w:r w:rsidR="00657CEB">
        <w:t xml:space="preserve">and </w:t>
      </w:r>
      <w:r w:rsidR="00E14264">
        <w:t xml:space="preserve">being somewhat </w:t>
      </w:r>
      <w:r w:rsidR="00657CEB">
        <w:t>more willing to accept deals and accommodations</w:t>
      </w:r>
      <w:r w:rsidR="00E14264">
        <w:t xml:space="preserve"> than were groups where a single issue might be at play</w:t>
      </w:r>
      <w:r w:rsidR="00657CEB">
        <w:t>.</w:t>
      </w:r>
      <w:r w:rsidR="00DE3273">
        <w:t xml:space="preserve">  In some instances, the White House </w:t>
      </w:r>
      <w:r w:rsidR="00E14264">
        <w:t xml:space="preserve">and Senators </w:t>
      </w:r>
      <w:r w:rsidR="00DE3273">
        <w:t>may have been able to triangulate, pitting the new</w:t>
      </w:r>
      <w:r w:rsidR="00D876DD">
        <w:t xml:space="preserve"> coalition against the old one.</w:t>
      </w:r>
    </w:p>
    <w:p w:rsidR="00E14264" w:rsidRPr="00D876DD" w:rsidRDefault="00D876DD" w:rsidP="00D876DD">
      <w:r w:rsidRPr="00D876DD">
        <w:t xml:space="preserve">With new non-OSF funding available for federal judicial nominations work, OSF could focus on long-range change and infrastructure.  The Wyss Foundation </w:t>
      </w:r>
      <w:r w:rsidR="009C200C">
        <w:t xml:space="preserve">prioritized </w:t>
      </w:r>
      <w:r w:rsidRPr="00D876DD">
        <w:t xml:space="preserve">immediate measures of progress and was not particularly interested in funding progressive infrastructure.  </w:t>
      </w:r>
      <w:r w:rsidR="002536F9">
        <w:t xml:space="preserve">Wyss and Sandler were both </w:t>
      </w:r>
      <w:r w:rsidRPr="00D876DD">
        <w:t xml:space="preserve">more </w:t>
      </w:r>
      <w:r w:rsidR="007A0534">
        <w:t xml:space="preserve">prescriptive </w:t>
      </w:r>
      <w:r w:rsidRPr="00D876DD">
        <w:t xml:space="preserve">in </w:t>
      </w:r>
      <w:r w:rsidR="002536F9">
        <w:t xml:space="preserve">their </w:t>
      </w:r>
      <w:r w:rsidRPr="00D876DD">
        <w:t>approach</w:t>
      </w:r>
      <w:r w:rsidR="002536F9">
        <w:t>es</w:t>
      </w:r>
      <w:r w:rsidRPr="00D876DD">
        <w:t xml:space="preserve"> with grantees</w:t>
      </w:r>
      <w:r w:rsidR="002536F9">
        <w:t xml:space="preserve">, as well; </w:t>
      </w:r>
      <w:r w:rsidR="009C200C">
        <w:t xml:space="preserve">they made direct interventions in grantees’ organizations that would have been unusual within OSF’s </w:t>
      </w:r>
      <w:proofErr w:type="spellStart"/>
      <w:r w:rsidR="009C200C">
        <w:t>grantmaking</w:t>
      </w:r>
      <w:proofErr w:type="spellEnd"/>
      <w:r w:rsidR="009C200C">
        <w:t xml:space="preserve"> culture.  </w:t>
      </w:r>
    </w:p>
    <w:p w:rsidR="005C5AE9" w:rsidRDefault="00770550" w:rsidP="00D876DD">
      <w:r>
        <w:t>Meanwhile, at OSF there was r</w:t>
      </w:r>
      <w:r w:rsidR="008F0BB4">
        <w:t>obust</w:t>
      </w:r>
      <w:r w:rsidR="004E3693">
        <w:t xml:space="preserve"> staff-level</w:t>
      </w:r>
      <w:r w:rsidR="008F0BB4">
        <w:t xml:space="preserve"> internal debate about </w:t>
      </w:r>
      <w:r w:rsidR="00E61DC7">
        <w:t xml:space="preserve">whether courts-related work </w:t>
      </w:r>
      <w:r w:rsidR="008F0BB4">
        <w:t>in the states</w:t>
      </w:r>
      <w:r w:rsidR="00E4788E">
        <w:t xml:space="preserve"> might also help to “unstick” the nominations process.  I</w:t>
      </w:r>
      <w:r w:rsidR="004B2974">
        <w:t xml:space="preserve">n 2012, </w:t>
      </w:r>
      <w:r w:rsidR="00071F8E">
        <w:t>Tom Hilbink</w:t>
      </w:r>
      <w:r w:rsidR="004B2974">
        <w:t xml:space="preserve"> began funding a diverse group of organizations to experiment with organizing grassroots courts activists</w:t>
      </w:r>
      <w:r w:rsidR="00071F8E">
        <w:t>—a project no existing coalition organization had been willing to take on</w:t>
      </w:r>
      <w:r w:rsidR="008F0BB4">
        <w:t xml:space="preserve">.  </w:t>
      </w:r>
      <w:r w:rsidR="00504232">
        <w:t>T</w:t>
      </w:r>
      <w:r w:rsidR="00FC067F">
        <w:t xml:space="preserve">he Infinity Project </w:t>
      </w:r>
      <w:hyperlink r:id="rId17" w:history="1">
        <w:r w:rsidR="00B44B86" w:rsidRPr="00B44B86">
          <w:rPr>
            <w:rStyle w:val="Hyperlink"/>
          </w:rPr>
          <w:t>worked</w:t>
        </w:r>
      </w:hyperlink>
      <w:r w:rsidR="00B44B86">
        <w:t xml:space="preserve"> (</w:t>
      </w:r>
      <w:hyperlink r:id="rId18" w:history="1">
        <w:r w:rsidR="00B44B86" w:rsidRPr="00B44B86">
          <w:rPr>
            <w:rStyle w:val="Hyperlink"/>
          </w:rPr>
          <w:t>successfully</w:t>
        </w:r>
      </w:hyperlink>
      <w:r w:rsidR="00B44B86">
        <w:t xml:space="preserve">) </w:t>
      </w:r>
      <w:hyperlink r:id="rId19" w:history="1">
        <w:r w:rsidR="00B44B86" w:rsidRPr="00B44B86">
          <w:rPr>
            <w:rStyle w:val="Hyperlink"/>
          </w:rPr>
          <w:t>to</w:t>
        </w:r>
        <w:r w:rsidR="00FC067F" w:rsidRPr="00B44B86">
          <w:rPr>
            <w:rStyle w:val="Hyperlink"/>
          </w:rPr>
          <w:t xml:space="preserve"> </w:t>
        </w:r>
        <w:r w:rsidR="00B076D7" w:rsidRPr="00B44B86">
          <w:rPr>
            <w:rStyle w:val="Hyperlink"/>
          </w:rPr>
          <w:t>get</w:t>
        </w:r>
        <w:r w:rsidR="00B44B86" w:rsidRPr="00B44B86">
          <w:rPr>
            <w:rStyle w:val="Hyperlink"/>
          </w:rPr>
          <w:t xml:space="preserve"> women</w:t>
        </w:r>
      </w:hyperlink>
      <w:r w:rsidR="00B44B86">
        <w:t xml:space="preserve">, and particularly women of color, </w:t>
      </w:r>
      <w:r w:rsidR="00B076D7">
        <w:t>on the bench in the 8</w:t>
      </w:r>
      <w:r w:rsidR="00B076D7" w:rsidRPr="00D876DD">
        <w:rPr>
          <w:vertAlign w:val="superscript"/>
        </w:rPr>
        <w:t>th</w:t>
      </w:r>
      <w:r w:rsidR="00FC067F">
        <w:t xml:space="preserve"> Circuit</w:t>
      </w:r>
      <w:r w:rsidR="001B7576">
        <w:t>;</w:t>
      </w:r>
      <w:r w:rsidR="00FC067F">
        <w:t xml:space="preserve"> the</w:t>
      </w:r>
      <w:r w:rsidR="00B076D7">
        <w:t xml:space="preserve"> National Cou</w:t>
      </w:r>
      <w:r w:rsidR="00FF7BB4">
        <w:t>nci</w:t>
      </w:r>
      <w:r w:rsidR="001B7576">
        <w:t xml:space="preserve">l of Jewish Women </w:t>
      </w:r>
      <w:r w:rsidR="00FC067F">
        <w:t xml:space="preserve">engaged in </w:t>
      </w:r>
      <w:r w:rsidR="00B076D7">
        <w:t>L</w:t>
      </w:r>
      <w:r w:rsidR="00FC067F">
        <w:t xml:space="preserve">eague of </w:t>
      </w:r>
      <w:r w:rsidR="00B076D7">
        <w:t>W</w:t>
      </w:r>
      <w:r w:rsidR="00FC067F">
        <w:t xml:space="preserve">omen </w:t>
      </w:r>
      <w:r w:rsidR="00B076D7">
        <w:t>V</w:t>
      </w:r>
      <w:r w:rsidR="00FC067F">
        <w:t>oters</w:t>
      </w:r>
      <w:r w:rsidR="00B076D7">
        <w:t>-style local organizing</w:t>
      </w:r>
      <w:r w:rsidR="00FC067F">
        <w:t xml:space="preserve"> through their chapters and coalition partners in key states (including Ohio and Pennsylvania)</w:t>
      </w:r>
      <w:r w:rsidR="001B7576">
        <w:t>;</w:t>
      </w:r>
      <w:r w:rsidR="002B1624">
        <w:t xml:space="preserve"> and the People for the American Way Foundation began to </w:t>
      </w:r>
      <w:r w:rsidR="00F91322">
        <w:t xml:space="preserve">develop </w:t>
      </w:r>
      <w:r w:rsidR="00291BC5">
        <w:t>“</w:t>
      </w:r>
      <w:r w:rsidR="00F91322">
        <w:t>Why Courts Matter</w:t>
      </w:r>
      <w:r w:rsidR="00291BC5">
        <w:t>”</w:t>
      </w:r>
      <w:r w:rsidR="00F91322">
        <w:t xml:space="preserve"> curricula for use with their Young People For and Young Elected Officials projects</w:t>
      </w:r>
      <w:r w:rsidR="00FC067F">
        <w:t xml:space="preserve">.  In a somewhat different </w:t>
      </w:r>
      <w:r w:rsidR="00F91322">
        <w:t xml:space="preserve">and complementary </w:t>
      </w:r>
      <w:r w:rsidR="00FC067F">
        <w:t xml:space="preserve">model, </w:t>
      </w:r>
      <w:r w:rsidR="00B076D7">
        <w:t xml:space="preserve">Legal Progress </w:t>
      </w:r>
      <w:r w:rsidR="00F91322">
        <w:t xml:space="preserve">began to focus on state work </w:t>
      </w:r>
      <w:r w:rsidR="00FC067F">
        <w:t xml:space="preserve">as well, making </w:t>
      </w:r>
      <w:proofErr w:type="spellStart"/>
      <w:r w:rsidR="00B076D7">
        <w:t>regrants</w:t>
      </w:r>
      <w:proofErr w:type="spellEnd"/>
      <w:r w:rsidR="00B076D7">
        <w:t xml:space="preserve"> to state coalitions</w:t>
      </w:r>
      <w:r w:rsidR="00FC067F">
        <w:t xml:space="preserve">, </w:t>
      </w:r>
      <w:r w:rsidR="00F91322">
        <w:t xml:space="preserve">tying state actions to what was happening at the federal level, </w:t>
      </w:r>
      <w:r w:rsidR="00FC067F">
        <w:t xml:space="preserve">and providing CAP’s signature communications support to state grassroots organizers </w:t>
      </w:r>
      <w:r w:rsidR="00D6495E">
        <w:t xml:space="preserve">working on nominations issues. They developed </w:t>
      </w:r>
      <w:hyperlink r:id="rId20" w:history="1">
        <w:proofErr w:type="spellStart"/>
        <w:r w:rsidR="007A0534" w:rsidRPr="00997E7B">
          <w:rPr>
            <w:rStyle w:val="Hyperlink"/>
          </w:rPr>
          <w:t>shareables</w:t>
        </w:r>
        <w:proofErr w:type="spellEnd"/>
      </w:hyperlink>
      <w:r w:rsidR="00FC067F">
        <w:t xml:space="preserve"> </w:t>
      </w:r>
      <w:r w:rsidR="00D6495E">
        <w:t xml:space="preserve">that </w:t>
      </w:r>
      <w:r w:rsidR="00FC067F">
        <w:t>place</w:t>
      </w:r>
      <w:r w:rsidR="007A0534">
        <w:t>d</w:t>
      </w:r>
      <w:r w:rsidR="00FC067F">
        <w:t xml:space="preserve"> nominations in the context of </w:t>
      </w:r>
      <w:r w:rsidR="00893D1E">
        <w:t xml:space="preserve">constitutional </w:t>
      </w:r>
      <w:r w:rsidR="00FC067F">
        <w:t>issues people care about</w:t>
      </w:r>
      <w:r w:rsidR="00D6495E">
        <w:t>.</w:t>
      </w:r>
      <w:r w:rsidR="00141792">
        <w:t xml:space="preserve"> </w:t>
      </w:r>
      <w:r w:rsidR="00504232">
        <w:t xml:space="preserve">These </w:t>
      </w:r>
      <w:r w:rsidR="00DA1D46">
        <w:t>four</w:t>
      </w:r>
      <w:r w:rsidR="00FC067F">
        <w:t xml:space="preserve"> groups </w:t>
      </w:r>
      <w:r w:rsidR="00DA1D46">
        <w:t xml:space="preserve">continue </w:t>
      </w:r>
      <w:r w:rsidR="00141792">
        <w:t>to work</w:t>
      </w:r>
      <w:r w:rsidR="00B662EA">
        <w:t xml:space="preserve"> together today</w:t>
      </w:r>
      <w:r w:rsidR="002A6479">
        <w:t>, in conjunction with national groups.</w:t>
      </w:r>
      <w:r w:rsidR="003151D6">
        <w:t xml:space="preserve">  </w:t>
      </w:r>
    </w:p>
    <w:p w:rsidR="005C5AE9" w:rsidRPr="005C5AE9" w:rsidRDefault="003B7392" w:rsidP="00B102FD">
      <w:pPr>
        <w:pStyle w:val="ListParagraph"/>
        <w:numPr>
          <w:ilvl w:val="0"/>
          <w:numId w:val="7"/>
        </w:numPr>
        <w:rPr>
          <w:b/>
        </w:rPr>
      </w:pPr>
      <w:r>
        <w:rPr>
          <w:b/>
        </w:rPr>
        <w:t xml:space="preserve">Where Are We Now?  </w:t>
      </w:r>
    </w:p>
    <w:p w:rsidR="001567CF" w:rsidRDefault="00E12B47" w:rsidP="005D4FD0">
      <w:pPr>
        <w:pStyle w:val="ListParagraph"/>
        <w:ind w:left="45"/>
        <w:rPr>
          <w:b/>
        </w:rPr>
      </w:pPr>
      <w:r>
        <w:rPr>
          <w:b/>
        </w:rPr>
        <w:t xml:space="preserve"> </w:t>
      </w:r>
    </w:p>
    <w:p w:rsidR="003A6898" w:rsidRDefault="003A6898" w:rsidP="00B44B86">
      <w:pPr>
        <w:pStyle w:val="ListParagraph"/>
        <w:ind w:left="45"/>
      </w:pPr>
      <w:r>
        <w:t xml:space="preserve">By the end of </w:t>
      </w:r>
      <w:r w:rsidR="004904C6">
        <w:t>2014</w:t>
      </w:r>
      <w:r>
        <w:t xml:space="preserve">, Obama’s </w:t>
      </w:r>
      <w:hyperlink r:id="rId21" w:history="1">
        <w:r w:rsidRPr="003A6898">
          <w:rPr>
            <w:rStyle w:val="Hyperlink"/>
          </w:rPr>
          <w:t>confirmation rate exceeded the rates</w:t>
        </w:r>
      </w:hyperlink>
      <w:r>
        <w:t xml:space="preserve"> of the Clinton and George W. Bush administrations.  What changed?  Most commentators point to filibuster reform—an effort O</w:t>
      </w:r>
      <w:r w:rsidR="00643903">
        <w:t>SF chose not to fund.  But even</w:t>
      </w:r>
      <w:r>
        <w:t xml:space="preserve"> after filibuster reform, Republicans continued to obstruct confirmations by refusing to permit voice votes and </w:t>
      </w:r>
      <w:r w:rsidR="004904C6">
        <w:t>delaying the return of blue slips</w:t>
      </w:r>
      <w:r>
        <w:t xml:space="preserve">.  </w:t>
      </w:r>
      <w:r w:rsidR="00D742D0">
        <w:t xml:space="preserve">With </w:t>
      </w:r>
      <w:proofErr w:type="spellStart"/>
      <w:r w:rsidR="00D742D0">
        <w:t>grasstops</w:t>
      </w:r>
      <w:proofErr w:type="spellEnd"/>
      <w:r w:rsidR="00D742D0">
        <w:t xml:space="preserve"> and grassroots pressure, and no viable threat </w:t>
      </w:r>
      <w:r w:rsidR="00D742D0">
        <w:lastRenderedPageBreak/>
        <w:t xml:space="preserve">of filibuster, </w:t>
      </w:r>
      <w:r>
        <w:t xml:space="preserve">Senate Majority Leader Reid </w:t>
      </w:r>
      <w:r w:rsidR="00071D91">
        <w:t xml:space="preserve">finally </w:t>
      </w:r>
      <w:hyperlink r:id="rId22" w:history="1">
        <w:r w:rsidRPr="003A6898">
          <w:rPr>
            <w:rStyle w:val="Hyperlink"/>
          </w:rPr>
          <w:t>commit</w:t>
        </w:r>
        <w:r w:rsidR="00D742D0">
          <w:rPr>
            <w:rStyle w:val="Hyperlink"/>
          </w:rPr>
          <w:t>ted</w:t>
        </w:r>
        <w:r w:rsidRPr="003A6898">
          <w:rPr>
            <w:rStyle w:val="Hyperlink"/>
          </w:rPr>
          <w:t xml:space="preserve"> the floor time</w:t>
        </w:r>
      </w:hyperlink>
      <w:r>
        <w:t xml:space="preserve"> </w:t>
      </w:r>
      <w:r w:rsidR="00071D91">
        <w:t xml:space="preserve">to </w:t>
      </w:r>
      <w:r w:rsidR="00D742D0">
        <w:t xml:space="preserve">confirm </w:t>
      </w:r>
      <w:r w:rsidR="00834BA9">
        <w:t>27</w:t>
      </w:r>
      <w:r w:rsidR="00071D91">
        <w:t xml:space="preserve"> </w:t>
      </w:r>
      <w:r w:rsidR="00D742D0">
        <w:t xml:space="preserve">judicial </w:t>
      </w:r>
      <w:r>
        <w:t xml:space="preserve">nominees </w:t>
      </w:r>
      <w:r w:rsidR="00643903">
        <w:t xml:space="preserve">during the 2014 lame duck session </w:t>
      </w:r>
      <w:r>
        <w:t xml:space="preserve">(where they were </w:t>
      </w:r>
      <w:hyperlink r:id="rId23" w:history="1">
        <w:r w:rsidRPr="00D742D0">
          <w:rPr>
            <w:rStyle w:val="Hyperlink"/>
          </w:rPr>
          <w:t>frequently almost unanimously confirmed</w:t>
        </w:r>
      </w:hyperlink>
      <w:r>
        <w:t>).</w:t>
      </w:r>
      <w:r w:rsidR="00D742D0">
        <w:t xml:space="preserve"> </w:t>
      </w:r>
    </w:p>
    <w:p w:rsidR="003A6898" w:rsidRDefault="003A6898" w:rsidP="005D4FD0">
      <w:pPr>
        <w:pStyle w:val="ListParagraph"/>
        <w:ind w:left="45"/>
      </w:pPr>
    </w:p>
    <w:p w:rsidR="008366F5" w:rsidRDefault="004904C6" w:rsidP="00141792">
      <w:pPr>
        <w:pStyle w:val="ListParagraph"/>
        <w:ind w:left="45"/>
      </w:pPr>
      <w:r>
        <w:t xml:space="preserve">When Congress returned </w:t>
      </w:r>
      <w:r w:rsidR="003A6898">
        <w:t>to session in January, Republicans took control of the Senate, making Iowa Senator Chuck Grassley the Chair of the Senate Judiciary</w:t>
      </w:r>
      <w:r w:rsidR="0092029C">
        <w:t xml:space="preserve"> Committee</w:t>
      </w:r>
      <w:r w:rsidR="003A6898">
        <w:t xml:space="preserve">.  As of this writing, two judicial nominees have been confirmed during his tenure, and the number of judicial </w:t>
      </w:r>
      <w:r w:rsidR="00DA6E7B">
        <w:t>emergencie</w:t>
      </w:r>
      <w:r w:rsidR="003A6898">
        <w:t xml:space="preserve">s has </w:t>
      </w:r>
      <w:r w:rsidR="000C435D">
        <w:t xml:space="preserve">risen </w:t>
      </w:r>
      <w:r w:rsidR="003A6898">
        <w:t>from 12 to 24.</w:t>
      </w:r>
      <w:r w:rsidR="00141792">
        <w:t xml:space="preserve">  Few expect </w:t>
      </w:r>
      <w:r w:rsidR="00643903">
        <w:t>significant</w:t>
      </w:r>
      <w:r w:rsidR="00141792">
        <w:t xml:space="preserve"> progress in the remaining years of th</w:t>
      </w:r>
      <w:r w:rsidR="000C435D">
        <w:t>is</w:t>
      </w:r>
      <w:r w:rsidR="00141792">
        <w:t xml:space="preserve"> Administration—especially if a Supreme Court vacancy arises.  Few inroads have been made to cultivate Republican champions of </w:t>
      </w:r>
      <w:r w:rsidR="00291BC5">
        <w:t>up or down votes for</w:t>
      </w:r>
      <w:r w:rsidR="00141792">
        <w:t xml:space="preserve"> nominees.</w:t>
      </w:r>
      <w:r w:rsidR="00643903">
        <w:t xml:space="preserve">  Organizations working on nominations are now developing alternative strategies for 2016 that address the role of the movement if the White House changes hands.</w:t>
      </w:r>
      <w:r w:rsidR="00BF0710">
        <w:t xml:space="preserve">  </w:t>
      </w:r>
      <w:r w:rsidR="0029182C">
        <w:t>In the next section, I will pivot to our related work to promote a progressive constitutional understanding</w:t>
      </w:r>
      <w:r w:rsidR="00405FE7">
        <w:t>, and explore its connection to the</w:t>
      </w:r>
      <w:r w:rsidR="00EF4EFC">
        <w:t xml:space="preserve"> field’s</w:t>
      </w:r>
      <w:r w:rsidR="00405FE7">
        <w:t xml:space="preserve"> work on nominations</w:t>
      </w:r>
      <w:r w:rsidR="0029182C">
        <w:t>.</w:t>
      </w:r>
    </w:p>
    <w:p w:rsidR="008366F5" w:rsidRDefault="008366F5" w:rsidP="005D4FD0">
      <w:pPr>
        <w:pStyle w:val="ListParagraph"/>
        <w:ind w:left="45"/>
      </w:pPr>
    </w:p>
    <w:p w:rsidR="00D742D0" w:rsidRPr="00B74FF3" w:rsidRDefault="00D742D0" w:rsidP="00B74FF3">
      <w:pPr>
        <w:pStyle w:val="ListParagraph"/>
        <w:numPr>
          <w:ilvl w:val="0"/>
          <w:numId w:val="7"/>
        </w:numPr>
        <w:rPr>
          <w:b/>
        </w:rPr>
      </w:pPr>
      <w:r w:rsidRPr="00B74FF3">
        <w:rPr>
          <w:b/>
        </w:rPr>
        <w:t xml:space="preserve">Connecting </w:t>
      </w:r>
      <w:r>
        <w:rPr>
          <w:b/>
        </w:rPr>
        <w:t>N</w:t>
      </w:r>
      <w:r w:rsidRPr="00D742D0">
        <w:rPr>
          <w:b/>
        </w:rPr>
        <w:t xml:space="preserve">ominations and </w:t>
      </w:r>
      <w:r>
        <w:rPr>
          <w:b/>
        </w:rPr>
        <w:t>C</w:t>
      </w:r>
      <w:r w:rsidRPr="00D742D0">
        <w:rPr>
          <w:b/>
        </w:rPr>
        <w:t xml:space="preserve">onstitutional </w:t>
      </w:r>
      <w:r>
        <w:rPr>
          <w:b/>
        </w:rPr>
        <w:t>V</w:t>
      </w:r>
      <w:r w:rsidRPr="00B74FF3">
        <w:rPr>
          <w:b/>
        </w:rPr>
        <w:t>alues</w:t>
      </w:r>
    </w:p>
    <w:p w:rsidR="00D742D0" w:rsidRDefault="00D742D0" w:rsidP="000C7945">
      <w:pPr>
        <w:pStyle w:val="ListParagraph"/>
        <w:ind w:left="45"/>
      </w:pPr>
    </w:p>
    <w:p w:rsidR="004904C6" w:rsidRDefault="008366F5" w:rsidP="000C7945">
      <w:pPr>
        <w:pStyle w:val="ListParagraph"/>
        <w:ind w:left="45"/>
      </w:pPr>
      <w:r>
        <w:t xml:space="preserve">Jeffrey </w:t>
      </w:r>
      <w:proofErr w:type="spellStart"/>
      <w:r>
        <w:t>Toobin</w:t>
      </w:r>
      <w:proofErr w:type="spellEnd"/>
      <w:r>
        <w:t xml:space="preserve"> calls President Obama’s legacy on judges “</w:t>
      </w:r>
      <w:hyperlink r:id="rId24" w:history="1">
        <w:r w:rsidRPr="008366F5">
          <w:rPr>
            <w:rStyle w:val="Hyperlink"/>
          </w:rPr>
          <w:t>symbolically rich but substantively hazy</w:t>
        </w:r>
      </w:hyperlink>
      <w:r w:rsidR="00141792">
        <w:t>.</w:t>
      </w:r>
      <w:r>
        <w:t xml:space="preserve">” </w:t>
      </w:r>
      <w:r w:rsidR="004904C6">
        <w:t xml:space="preserve"> </w:t>
      </w:r>
      <w:r w:rsidR="00565F4F">
        <w:t>Speaking broadly,</w:t>
      </w:r>
      <w:r w:rsidR="00643903">
        <w:t xml:space="preserve"> </w:t>
      </w:r>
      <w:r w:rsidR="004904C6">
        <w:t>nominees’</w:t>
      </w:r>
      <w:r w:rsidR="00141792">
        <w:t xml:space="preserve"> </w:t>
      </w:r>
      <w:r w:rsidR="00521E55">
        <w:t xml:space="preserve">have been </w:t>
      </w:r>
      <w:r w:rsidR="00565F4F">
        <w:t>ideologically</w:t>
      </w:r>
      <w:r w:rsidR="00141792">
        <w:t xml:space="preserve"> moderate. </w:t>
      </w:r>
      <w:r w:rsidR="004904C6">
        <w:t xml:space="preserve">While there has been </w:t>
      </w:r>
      <w:hyperlink r:id="rId25" w:history="1">
        <w:r w:rsidR="004904C6" w:rsidRPr="004904C6">
          <w:rPr>
            <w:rStyle w:val="Hyperlink"/>
          </w:rPr>
          <w:t>remarkable progress</w:t>
        </w:r>
      </w:hyperlink>
      <w:r w:rsidR="004904C6">
        <w:t xml:space="preserve"> in the diversity of the federal bench, </w:t>
      </w:r>
      <w:r w:rsidR="00141792">
        <w:t xml:space="preserve"> </w:t>
      </w:r>
      <w:r w:rsidR="004904C6">
        <w:t>f</w:t>
      </w:r>
      <w:hyperlink r:id="rId26" w:history="1">
        <w:r w:rsidR="00141792" w:rsidRPr="004904C6">
          <w:rPr>
            <w:rStyle w:val="Hyperlink"/>
          </w:rPr>
          <w:t xml:space="preserve">ew </w:t>
        </w:r>
        <w:r w:rsidR="004904C6">
          <w:rPr>
            <w:rStyle w:val="Hyperlink"/>
          </w:rPr>
          <w:t xml:space="preserve">of the new judges </w:t>
        </w:r>
        <w:r w:rsidR="00141792" w:rsidRPr="004904C6">
          <w:rPr>
            <w:rStyle w:val="Hyperlink"/>
          </w:rPr>
          <w:t xml:space="preserve">come from the </w:t>
        </w:r>
        <w:r w:rsidR="004904C6">
          <w:rPr>
            <w:rStyle w:val="Hyperlink"/>
          </w:rPr>
          <w:t>public defender</w:t>
        </w:r>
        <w:r w:rsidR="004904C6" w:rsidRPr="004904C6">
          <w:rPr>
            <w:rStyle w:val="Hyperlink"/>
          </w:rPr>
          <w:t>, civil rights or other public interest backgrounds</w:t>
        </w:r>
      </w:hyperlink>
      <w:r w:rsidR="004904C6">
        <w:t>—professional experience we might view as especially important to open society values—and most come from corporate law firms</w:t>
      </w:r>
      <w:r w:rsidR="00E12B47">
        <w:t>.</w:t>
      </w:r>
      <w:r w:rsidR="001F5FCE">
        <w:t xml:space="preserve">  </w:t>
      </w:r>
      <w:r w:rsidR="00521E55">
        <w:t xml:space="preserve">If it’s not the </w:t>
      </w:r>
      <w:r w:rsidR="00643903">
        <w:t xml:space="preserve">inspiring </w:t>
      </w:r>
      <w:r w:rsidR="00071D91">
        <w:t xml:space="preserve">nature of the </w:t>
      </w:r>
      <w:r w:rsidR="00643903">
        <w:t>nominees</w:t>
      </w:r>
      <w:r w:rsidR="00643903" w:rsidRPr="00643903">
        <w:t>, i</w:t>
      </w:r>
      <w:r w:rsidR="004904C6" w:rsidRPr="00643903">
        <w:t xml:space="preserve">t </w:t>
      </w:r>
      <w:r w:rsidR="00643903" w:rsidRPr="00643903">
        <w:t xml:space="preserve">seems </w:t>
      </w:r>
      <w:r w:rsidR="004904C6" w:rsidRPr="00643903">
        <w:t xml:space="preserve">likely that </w:t>
      </w:r>
      <w:r w:rsidR="00521E55">
        <w:t xml:space="preserve">the uptick in </w:t>
      </w:r>
      <w:r w:rsidR="004904C6" w:rsidRPr="00643903">
        <w:t xml:space="preserve">activism </w:t>
      </w:r>
      <w:r w:rsidR="00521E55">
        <w:t xml:space="preserve">is at least partially </w:t>
      </w:r>
      <w:r w:rsidR="00565F4F">
        <w:t>respond</w:t>
      </w:r>
      <w:r w:rsidR="00521E55">
        <w:t>ing</w:t>
      </w:r>
      <w:r w:rsidR="00565F4F">
        <w:t xml:space="preserve"> </w:t>
      </w:r>
      <w:r w:rsidR="004904C6" w:rsidRPr="00643903">
        <w:t xml:space="preserve">to the particularly disastrous </w:t>
      </w:r>
      <w:r w:rsidR="00521E55">
        <w:t xml:space="preserve">and </w:t>
      </w:r>
      <w:hyperlink r:id="rId27" w:history="1">
        <w:r w:rsidR="00521E55" w:rsidRPr="00B04C51">
          <w:rPr>
            <w:rStyle w:val="Hyperlink"/>
          </w:rPr>
          <w:t>unpopular</w:t>
        </w:r>
      </w:hyperlink>
      <w:r w:rsidR="00521E55">
        <w:t xml:space="preserve"> </w:t>
      </w:r>
      <w:r w:rsidR="004904C6" w:rsidRPr="00643903">
        <w:t xml:space="preserve">decisions of the Roberts Court.  Senators report that they are hearing from constituents about the importance of the courts for the first time, but it is </w:t>
      </w:r>
      <w:r w:rsidR="00CB49A7">
        <w:t>at this early stage in the state-based experiment</w:t>
      </w:r>
      <w:r w:rsidR="00CB49A7" w:rsidRPr="00CB49A7">
        <w:t xml:space="preserve">, it is </w:t>
      </w:r>
      <w:r w:rsidR="004904C6" w:rsidRPr="00CB49A7">
        <w:t>difficult to untangle the causes and effects in this area</w:t>
      </w:r>
      <w:r w:rsidR="004904C6" w:rsidRPr="00922B13">
        <w:t>.</w:t>
      </w:r>
    </w:p>
    <w:p w:rsidR="000C7945" w:rsidRDefault="000C7945" w:rsidP="000C7945">
      <w:pPr>
        <w:pStyle w:val="ListParagraph"/>
        <w:ind w:left="45"/>
      </w:pPr>
    </w:p>
    <w:p w:rsidR="000C7945" w:rsidRDefault="000C7945" w:rsidP="000C7945">
      <w:pPr>
        <w:pStyle w:val="ListParagraph"/>
        <w:ind w:left="45"/>
      </w:pPr>
      <w:r>
        <w:t xml:space="preserve">Nevertheless, these new judges have benefitted from the advice and support OSF grantees provided during their confirmation processes, and have been substantially more open to participating in on- and off-the-record events with ACS and other organizations.  There is some evidence that the new judges are having a </w:t>
      </w:r>
      <w:hyperlink r:id="rId28" w:history="1">
        <w:r w:rsidRPr="00B04C51">
          <w:rPr>
            <w:rStyle w:val="Hyperlink"/>
          </w:rPr>
          <w:t>marked effect on jurisprudence</w:t>
        </w:r>
      </w:hyperlink>
      <w:r>
        <w:t xml:space="preserve">.  And senior judges long associated with progressive legal thought are </w:t>
      </w:r>
      <w:r w:rsidRPr="000C7945">
        <w:t>speaking up</w:t>
      </w:r>
      <w:r>
        <w:t xml:space="preserve"> to connect the act of judging with </w:t>
      </w:r>
      <w:r w:rsidR="008D2797">
        <w:t>matters of</w:t>
      </w:r>
      <w:r>
        <w:t xml:space="preserve"> </w:t>
      </w:r>
      <w:r w:rsidR="00F6292E">
        <w:t xml:space="preserve">serious Constitutional </w:t>
      </w:r>
      <w:r>
        <w:t xml:space="preserve">and policy </w:t>
      </w:r>
      <w:r w:rsidR="008D2797">
        <w:t xml:space="preserve">concern </w:t>
      </w:r>
      <w:r>
        <w:t xml:space="preserve">(e.g., see Judge Jed </w:t>
      </w:r>
      <w:proofErr w:type="spellStart"/>
      <w:r>
        <w:t>Rakoff’s</w:t>
      </w:r>
      <w:proofErr w:type="spellEnd"/>
      <w:r>
        <w:t xml:space="preserve"> recent </w:t>
      </w:r>
      <w:r w:rsidR="007572DD">
        <w:t xml:space="preserve">response to </w:t>
      </w:r>
      <w:r>
        <w:t xml:space="preserve">a Brennan Center publication on mass incarceration, </w:t>
      </w:r>
      <w:hyperlink r:id="rId29" w:history="1">
        <w:r w:rsidRPr="000C7945">
          <w:rPr>
            <w:rStyle w:val="Hyperlink"/>
          </w:rPr>
          <w:t>here</w:t>
        </w:r>
      </w:hyperlink>
      <w:r>
        <w:t>).</w:t>
      </w:r>
    </w:p>
    <w:p w:rsidR="000C7945" w:rsidRDefault="000C7945" w:rsidP="00643903">
      <w:pPr>
        <w:pStyle w:val="ListParagraph"/>
        <w:ind w:left="45"/>
      </w:pPr>
    </w:p>
    <w:p w:rsidR="00643903" w:rsidRDefault="00643903" w:rsidP="00643903">
      <w:pPr>
        <w:pStyle w:val="ListParagraph"/>
        <w:ind w:left="45"/>
      </w:pPr>
      <w:r>
        <w:t xml:space="preserve">In the past two years, the field has </w:t>
      </w:r>
      <w:r w:rsidR="00521E55">
        <w:t xml:space="preserve">also </w:t>
      </w:r>
      <w:r>
        <w:t>displayed</w:t>
      </w:r>
      <w:r w:rsidR="006F5083">
        <w:t xml:space="preserve"> an increased focus on the message discipline for which the Federalist Society is known.  This was </w:t>
      </w:r>
      <w:r>
        <w:t xml:space="preserve">apparent </w:t>
      </w:r>
      <w:r w:rsidR="006F5083">
        <w:t>most recently in the Affordable Care Act case, where CAC, CAP and the public relations firm SKDK worked together to</w:t>
      </w:r>
      <w:r w:rsidR="000C435D">
        <w:t xml:space="preserve">: </w:t>
      </w:r>
      <w:r w:rsidR="006F5083">
        <w:t xml:space="preserve"> (a) </w:t>
      </w:r>
      <w:r w:rsidR="00004621">
        <w:t xml:space="preserve">develop and manage an amicus strategy that made sure all necessary arguments would be seen by the Justices, and that ample consideration was given throughout the amici to </w:t>
      </w:r>
      <w:r>
        <w:t xml:space="preserve">swing </w:t>
      </w:r>
      <w:r w:rsidR="00004621">
        <w:t>Justices’ particular attitudes, (b) develop public messaging for the campaign, and (c) enforce message discipline among the participating groups</w:t>
      </w:r>
      <w:r w:rsidR="003A6898">
        <w:t xml:space="preserve">.   </w:t>
      </w:r>
      <w:r w:rsidR="00004621">
        <w:t>But c</w:t>
      </w:r>
      <w:r w:rsidR="002A6479">
        <w:t>onstitutional responses</w:t>
      </w:r>
      <w:r w:rsidR="009A69AB">
        <w:t xml:space="preserve"> are</w:t>
      </w:r>
      <w:r w:rsidR="002A6479">
        <w:t xml:space="preserve"> still </w:t>
      </w:r>
      <w:r w:rsidR="00AB2BE2">
        <w:t xml:space="preserve">issue-based and </w:t>
      </w:r>
      <w:r w:rsidR="002A6479">
        <w:t>ad hoc</w:t>
      </w:r>
      <w:r w:rsidR="00004621">
        <w:t xml:space="preserve">, and </w:t>
      </w:r>
      <w:r w:rsidR="001635BD">
        <w:t xml:space="preserve">while CAC has had some success addressing its arguments to a majority of the current Supreme Court Justices, </w:t>
      </w:r>
      <w:r w:rsidR="00197862">
        <w:t xml:space="preserve">we are </w:t>
      </w:r>
      <w:r w:rsidR="00004621">
        <w:t xml:space="preserve">little </w:t>
      </w:r>
      <w:r w:rsidR="00197862">
        <w:t>closer to a popular articulation of progressive legal</w:t>
      </w:r>
      <w:r w:rsidR="002A6479">
        <w:t xml:space="preserve"> theory</w:t>
      </w:r>
      <w:r w:rsidR="00004621">
        <w:t xml:space="preserve"> that would have the same resonance as “strict construction” </w:t>
      </w:r>
      <w:r>
        <w:t xml:space="preserve">and </w:t>
      </w:r>
      <w:r w:rsidR="00004621">
        <w:t>“originalism” seem to</w:t>
      </w:r>
      <w:r w:rsidR="000C435D">
        <w:t xml:space="preserve"> have</w:t>
      </w:r>
      <w:r w:rsidR="00004621">
        <w:t xml:space="preserve">.  </w:t>
      </w:r>
      <w:r w:rsidR="002A6479">
        <w:t xml:space="preserve">  </w:t>
      </w:r>
    </w:p>
    <w:p w:rsidR="00643903" w:rsidRDefault="00643903" w:rsidP="00643903">
      <w:pPr>
        <w:pStyle w:val="ListParagraph"/>
        <w:ind w:left="45"/>
      </w:pPr>
    </w:p>
    <w:p w:rsidR="00004621" w:rsidRDefault="00004621" w:rsidP="00643903">
      <w:pPr>
        <w:pStyle w:val="ListParagraph"/>
        <w:ind w:left="45"/>
      </w:pPr>
      <w:r w:rsidRPr="00B44B86">
        <w:t xml:space="preserve">But perhaps </w:t>
      </w:r>
      <w:r w:rsidR="00643903" w:rsidRPr="00B44B86">
        <w:t xml:space="preserve">a single coherent theory (or the appearance of one) </w:t>
      </w:r>
      <w:r w:rsidRPr="00B44B86">
        <w:t>is not a</w:t>
      </w:r>
      <w:r w:rsidR="00565F4F" w:rsidRPr="00B44B86">
        <w:t>n absolutely</w:t>
      </w:r>
      <w:r w:rsidRPr="00B44B86">
        <w:t xml:space="preserve"> necessary marker of progress:  </w:t>
      </w:r>
      <w:r w:rsidR="00643903" w:rsidRPr="00B44B86">
        <w:t>recent polling suggests that</w:t>
      </w:r>
      <w:r w:rsidR="00197862" w:rsidRPr="00B44B86">
        <w:t xml:space="preserve"> </w:t>
      </w:r>
      <w:r w:rsidR="00521E55" w:rsidRPr="00B44B86">
        <w:t xml:space="preserve">about half of Americans </w:t>
      </w:r>
      <w:r w:rsidR="00352570" w:rsidRPr="00B44B86">
        <w:t xml:space="preserve">reject originalism and say that </w:t>
      </w:r>
      <w:r w:rsidR="00521E55" w:rsidRPr="00B44B86">
        <w:t>the Supreme Court’s decisions should be based on what the Constitution “</w:t>
      </w:r>
      <w:hyperlink r:id="rId30" w:history="1">
        <w:r w:rsidR="00521E55" w:rsidRPr="00B44B86">
          <w:rPr>
            <w:rStyle w:val="Hyperlink"/>
          </w:rPr>
          <w:t>means in current times</w:t>
        </w:r>
      </w:hyperlink>
      <w:r w:rsidR="00352570" w:rsidRPr="00B44B86">
        <w:t xml:space="preserve">.”  </w:t>
      </w:r>
      <w:r w:rsidR="00521E55" w:rsidRPr="00B44B86">
        <w:t xml:space="preserve">These opinions align closely with partisan affiliation.   </w:t>
      </w:r>
      <w:r w:rsidR="00197862" w:rsidRPr="00B44B86">
        <w:t xml:space="preserve"> </w:t>
      </w:r>
      <w:r w:rsidR="00B44B86" w:rsidRPr="00B44B86">
        <w:t xml:space="preserve">Even without agreed upon magic words, progressives respond to Constitutional arguments that address modern contexts—whether it’s through CAC’s “whole constitution” approach, or through a “living Constitution” lens.  </w:t>
      </w:r>
      <w:r w:rsidR="00643903" w:rsidRPr="00B44B86">
        <w:t>Perhaps we can live with pluralism, while still building a movement that cares</w:t>
      </w:r>
      <w:r w:rsidR="000C435D">
        <w:t xml:space="preserve"> about</w:t>
      </w:r>
      <w:r w:rsidR="00643903" w:rsidRPr="00B44B86">
        <w:t>—and changes—what happens in the courts and who sits on them.</w:t>
      </w:r>
    </w:p>
    <w:p w:rsidR="00643903" w:rsidRDefault="00643903" w:rsidP="00643903">
      <w:pPr>
        <w:pStyle w:val="ListParagraph"/>
        <w:ind w:left="45"/>
      </w:pPr>
    </w:p>
    <w:p w:rsidR="00CB49A7" w:rsidRDefault="00643903" w:rsidP="00643903">
      <w:pPr>
        <w:pStyle w:val="ListParagraph"/>
        <w:ind w:left="45"/>
      </w:pPr>
      <w:r>
        <w:t xml:space="preserve">As a final note, the pool of funders for this work has been static for several years now, and money for this work </w:t>
      </w:r>
      <w:r w:rsidR="000C435D">
        <w:t xml:space="preserve">is </w:t>
      </w:r>
      <w:r>
        <w:t xml:space="preserve">not increasing, either within OSF or externally.  </w:t>
      </w:r>
      <w:r w:rsidR="00CB49A7">
        <w:t>This raises several questions included below.</w:t>
      </w:r>
    </w:p>
    <w:p w:rsidR="000C7945" w:rsidRDefault="000C7945" w:rsidP="00643903">
      <w:pPr>
        <w:pStyle w:val="ListParagraph"/>
        <w:ind w:left="45"/>
      </w:pPr>
    </w:p>
    <w:p w:rsidR="00643903" w:rsidRPr="000C7945" w:rsidRDefault="00643903" w:rsidP="000C7945">
      <w:pPr>
        <w:pStyle w:val="ListParagraph"/>
        <w:numPr>
          <w:ilvl w:val="0"/>
          <w:numId w:val="7"/>
        </w:numPr>
        <w:rPr>
          <w:b/>
        </w:rPr>
      </w:pPr>
      <w:r w:rsidRPr="000C7945">
        <w:rPr>
          <w:b/>
        </w:rPr>
        <w:t>Conclusion</w:t>
      </w:r>
    </w:p>
    <w:p w:rsidR="005C5AE9" w:rsidRPr="005C5AE9" w:rsidRDefault="009C7395" w:rsidP="00AB37B7">
      <w:r>
        <w:t xml:space="preserve">We are now </w:t>
      </w:r>
      <w:r w:rsidR="00117BCC">
        <w:t>13</w:t>
      </w:r>
      <w:r w:rsidR="002A6479">
        <w:t xml:space="preserve"> years into an experiment th</w:t>
      </w:r>
      <w:r>
        <w:t xml:space="preserve">at Federalist </w:t>
      </w:r>
      <w:r w:rsidR="002A6479">
        <w:t>Soc</w:t>
      </w:r>
      <w:r>
        <w:t>iety</w:t>
      </w:r>
      <w:r w:rsidR="002A6479">
        <w:t xml:space="preserve"> started </w:t>
      </w:r>
      <w:r w:rsidR="00117BCC">
        <w:t xml:space="preserve">over 30 years ago with </w:t>
      </w:r>
      <w:r w:rsidR="00B04C51">
        <w:t>vastly more</w:t>
      </w:r>
      <w:r w:rsidR="00117BCC">
        <w:t xml:space="preserve"> financial support, and material and strategic support from </w:t>
      </w:r>
      <w:r w:rsidR="002A6479" w:rsidRPr="00AB37B7">
        <w:t>within the White House.</w:t>
      </w:r>
      <w:r w:rsidR="002A6479">
        <w:t xml:space="preserve">  </w:t>
      </w:r>
      <w:r w:rsidR="00117BCC">
        <w:t>A</w:t>
      </w:r>
      <w:r w:rsidR="000C7945">
        <w:t>s I reflect on this</w:t>
      </w:r>
      <w:r w:rsidR="00565F4F">
        <w:t xml:space="preserve"> portfolio</w:t>
      </w:r>
      <w:r w:rsidR="000C7945">
        <w:t xml:space="preserve"> and think about its future, some of my questions include</w:t>
      </w:r>
      <w:r w:rsidR="00565F4F">
        <w:t>:</w:t>
      </w:r>
    </w:p>
    <w:p w:rsidR="000C435D" w:rsidRPr="00922B13" w:rsidRDefault="00D1063E" w:rsidP="00AA757E">
      <w:pPr>
        <w:pStyle w:val="ListParagraph"/>
        <w:numPr>
          <w:ilvl w:val="0"/>
          <w:numId w:val="5"/>
        </w:numPr>
      </w:pPr>
      <w:r w:rsidRPr="00D1063E">
        <w:rPr>
          <w:i/>
        </w:rPr>
        <w:t xml:space="preserve">Did OSF identify the right starting point for the creation of the </w:t>
      </w:r>
      <w:r w:rsidR="000C435D">
        <w:rPr>
          <w:i/>
        </w:rPr>
        <w:t xml:space="preserve">national legal infrastructure </w:t>
      </w:r>
      <w:r w:rsidRPr="00D1063E">
        <w:rPr>
          <w:i/>
        </w:rPr>
        <w:t xml:space="preserve">field, or did the </w:t>
      </w:r>
      <w:r w:rsidR="00C45FC9">
        <w:rPr>
          <w:i/>
        </w:rPr>
        <w:t xml:space="preserve">effort </w:t>
      </w:r>
      <w:r w:rsidRPr="00D1063E">
        <w:rPr>
          <w:i/>
        </w:rPr>
        <w:t xml:space="preserve">suffer because it was not built upon the necessary </w:t>
      </w:r>
      <w:r w:rsidR="00643903">
        <w:rPr>
          <w:i/>
        </w:rPr>
        <w:t>grassroots progressive infrastructure that valued the courts</w:t>
      </w:r>
      <w:r w:rsidRPr="00D1063E">
        <w:rPr>
          <w:i/>
        </w:rPr>
        <w:t>?</w:t>
      </w:r>
      <w:r>
        <w:rPr>
          <w:i/>
        </w:rPr>
        <w:t xml:space="preserve">  </w:t>
      </w:r>
    </w:p>
    <w:p w:rsidR="00986375" w:rsidRPr="00B74FF3" w:rsidRDefault="00986375" w:rsidP="00986375">
      <w:pPr>
        <w:pStyle w:val="ListParagraph"/>
        <w:numPr>
          <w:ilvl w:val="0"/>
          <w:numId w:val="5"/>
        </w:numPr>
      </w:pPr>
      <w:r>
        <w:rPr>
          <w:i/>
        </w:rPr>
        <w:t xml:space="preserve">Was emulation of the Federalist Society structure the right approach?  </w:t>
      </w:r>
    </w:p>
    <w:p w:rsidR="000C435D" w:rsidRPr="00B74FF3" w:rsidRDefault="00D1063E" w:rsidP="00AA757E">
      <w:pPr>
        <w:pStyle w:val="ListParagraph"/>
        <w:numPr>
          <w:ilvl w:val="0"/>
          <w:numId w:val="5"/>
        </w:numPr>
      </w:pPr>
      <w:r>
        <w:rPr>
          <w:i/>
        </w:rPr>
        <w:t xml:space="preserve">Did pluralism </w:t>
      </w:r>
      <w:r w:rsidR="00643903">
        <w:rPr>
          <w:i/>
        </w:rPr>
        <w:t xml:space="preserve">in progressive legal thinking </w:t>
      </w:r>
      <w:r>
        <w:rPr>
          <w:i/>
        </w:rPr>
        <w:t xml:space="preserve">make it hard for the field </w:t>
      </w:r>
      <w:r w:rsidR="00986375">
        <w:rPr>
          <w:i/>
        </w:rPr>
        <w:t>find a clear direction forward</w:t>
      </w:r>
      <w:r>
        <w:rPr>
          <w:i/>
        </w:rPr>
        <w:t xml:space="preserve"> when its members became office holders, policymakers, judges, and what could/should we have done differently to enable a more coherent field? </w:t>
      </w:r>
    </w:p>
    <w:p w:rsidR="00AA757E" w:rsidRPr="009A69AB" w:rsidRDefault="007572DD" w:rsidP="00AA757E">
      <w:pPr>
        <w:pStyle w:val="ListParagraph"/>
        <w:numPr>
          <w:ilvl w:val="0"/>
          <w:numId w:val="5"/>
        </w:numPr>
      </w:pPr>
      <w:r>
        <w:rPr>
          <w:i/>
        </w:rPr>
        <w:t xml:space="preserve">How (and when) do we evaluate the success of organizations whose purposes are inherently long-term? </w:t>
      </w:r>
      <w:r w:rsidR="00D1063E">
        <w:rPr>
          <w:i/>
        </w:rPr>
        <w:t xml:space="preserve">  </w:t>
      </w:r>
    </w:p>
    <w:p w:rsidR="005C5AE9" w:rsidRDefault="007572DD" w:rsidP="005C5AE9">
      <w:pPr>
        <w:pStyle w:val="ListParagraph"/>
        <w:numPr>
          <w:ilvl w:val="0"/>
          <w:numId w:val="5"/>
        </w:numPr>
        <w:rPr>
          <w:i/>
        </w:rPr>
      </w:pPr>
      <w:r>
        <w:rPr>
          <w:i/>
        </w:rPr>
        <w:t>Have we achieved the right balance between state and federal projects for judicial nominations</w:t>
      </w:r>
      <w:r w:rsidR="005E222F" w:rsidRPr="005E222F">
        <w:rPr>
          <w:i/>
        </w:rPr>
        <w:t xml:space="preserve">?  </w:t>
      </w:r>
      <w:r w:rsidR="005E222F">
        <w:rPr>
          <w:i/>
        </w:rPr>
        <w:t xml:space="preserve">Can the state-based strategy be seen as an attempt to infill grassroots passion for the courts that existed in conservative circles </w:t>
      </w:r>
      <w:r w:rsidR="005E222F">
        <w:t>prior</w:t>
      </w:r>
      <w:r w:rsidR="005E222F">
        <w:rPr>
          <w:i/>
        </w:rPr>
        <w:t xml:space="preserve"> to the Federalist Society</w:t>
      </w:r>
      <w:r w:rsidR="003B0032">
        <w:rPr>
          <w:i/>
        </w:rPr>
        <w:t>’s founding</w:t>
      </w:r>
      <w:r w:rsidR="005E222F">
        <w:rPr>
          <w:i/>
        </w:rPr>
        <w:t>?</w:t>
      </w:r>
    </w:p>
    <w:p w:rsidR="00CB49A7" w:rsidRDefault="00076B73" w:rsidP="005C5AE9">
      <w:pPr>
        <w:pStyle w:val="ListParagraph"/>
        <w:numPr>
          <w:ilvl w:val="0"/>
          <w:numId w:val="5"/>
        </w:numPr>
        <w:rPr>
          <w:i/>
        </w:rPr>
      </w:pPr>
      <w:r>
        <w:rPr>
          <w:i/>
        </w:rPr>
        <w:t xml:space="preserve">Have we achieved the right balance between c3 and c4 </w:t>
      </w:r>
      <w:proofErr w:type="spellStart"/>
      <w:r>
        <w:rPr>
          <w:i/>
        </w:rPr>
        <w:t>grantmaking</w:t>
      </w:r>
      <w:proofErr w:type="spellEnd"/>
      <w:r>
        <w:rPr>
          <w:i/>
        </w:rPr>
        <w:t xml:space="preserve"> for judicial nominations?  Are there other tools we should be using in this work?</w:t>
      </w:r>
    </w:p>
    <w:p w:rsidR="00CB49A7" w:rsidRDefault="00CB49A7" w:rsidP="00CB49A7">
      <w:pPr>
        <w:pStyle w:val="ListParagraph"/>
        <w:numPr>
          <w:ilvl w:val="0"/>
          <w:numId w:val="5"/>
        </w:numPr>
        <w:rPr>
          <w:i/>
        </w:rPr>
      </w:pPr>
      <w:r w:rsidRPr="00CB49A7">
        <w:rPr>
          <w:i/>
        </w:rPr>
        <w:t xml:space="preserve">Would a push toward issue-based approaches help draw new funders?  If it would, must it be at the expense of attention to a more overarching constitutional narrative?  </w:t>
      </w:r>
    </w:p>
    <w:p w:rsidR="00076B73" w:rsidRPr="005E222F" w:rsidRDefault="00CB49A7" w:rsidP="00CB49A7">
      <w:pPr>
        <w:pStyle w:val="ListParagraph"/>
        <w:numPr>
          <w:ilvl w:val="0"/>
          <w:numId w:val="5"/>
        </w:numPr>
        <w:rPr>
          <w:i/>
        </w:rPr>
      </w:pPr>
      <w:r w:rsidRPr="00CB49A7">
        <w:rPr>
          <w:i/>
        </w:rPr>
        <w:t>What did we learn from the Wyss/Sandler experiences that might inform our outreach to new funders in this area?</w:t>
      </w:r>
    </w:p>
    <w:sectPr w:rsidR="00076B73" w:rsidRPr="005E222F" w:rsidSect="00AB37B7">
      <w:headerReference w:type="even" r:id="rId31"/>
      <w:headerReference w:type="default" r:id="rId32"/>
      <w:footerReference w:type="even" r:id="rId33"/>
      <w:footerReference w:type="default" r:id="rId34"/>
      <w:headerReference w:type="first" r:id="rId35"/>
      <w:footerReference w:type="first" r:id="rId3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946" w:rsidRDefault="00D12946" w:rsidP="00DB7BCA">
      <w:pPr>
        <w:spacing w:after="0" w:line="240" w:lineRule="auto"/>
      </w:pPr>
      <w:r>
        <w:separator/>
      </w:r>
    </w:p>
  </w:endnote>
  <w:endnote w:type="continuationSeparator" w:id="0">
    <w:p w:rsidR="00D12946" w:rsidRDefault="00D12946" w:rsidP="00DB7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7F" w:rsidRDefault="004315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623118"/>
      <w:docPartObj>
        <w:docPartGallery w:val="Page Numbers (Bottom of Page)"/>
        <w:docPartUnique/>
      </w:docPartObj>
    </w:sdtPr>
    <w:sdtEndPr>
      <w:rPr>
        <w:noProof/>
      </w:rPr>
    </w:sdtEndPr>
    <w:sdtContent>
      <w:p w:rsidR="007460F4" w:rsidRDefault="007460F4">
        <w:pPr>
          <w:pStyle w:val="Footer"/>
          <w:jc w:val="center"/>
        </w:pPr>
        <w:r>
          <w:fldChar w:fldCharType="begin"/>
        </w:r>
        <w:r>
          <w:instrText xml:space="preserve"> PAGE   \* MERGEFORMAT </w:instrText>
        </w:r>
        <w:r>
          <w:fldChar w:fldCharType="separate"/>
        </w:r>
        <w:r w:rsidR="003C7ABE">
          <w:rPr>
            <w:noProof/>
          </w:rPr>
          <w:t>1</w:t>
        </w:r>
        <w:r>
          <w:rPr>
            <w:noProof/>
          </w:rPr>
          <w:fldChar w:fldCharType="end"/>
        </w:r>
      </w:p>
    </w:sdtContent>
  </w:sdt>
  <w:p w:rsidR="007460F4" w:rsidRDefault="007460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7F" w:rsidRDefault="00431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946" w:rsidRDefault="00D12946" w:rsidP="00DB7BCA">
      <w:pPr>
        <w:spacing w:after="0" w:line="240" w:lineRule="auto"/>
      </w:pPr>
      <w:r>
        <w:separator/>
      </w:r>
    </w:p>
  </w:footnote>
  <w:footnote w:type="continuationSeparator" w:id="0">
    <w:p w:rsidR="00D12946" w:rsidRDefault="00D12946" w:rsidP="00DB7BCA">
      <w:pPr>
        <w:spacing w:after="0" w:line="240" w:lineRule="auto"/>
      </w:pPr>
      <w:r>
        <w:continuationSeparator/>
      </w:r>
    </w:p>
  </w:footnote>
  <w:footnote w:id="1">
    <w:p w:rsidR="007460F4" w:rsidRDefault="007460F4">
      <w:pPr>
        <w:pStyle w:val="FootnoteText"/>
      </w:pPr>
      <w:r>
        <w:rPr>
          <w:rStyle w:val="FootnoteReference"/>
        </w:rPr>
        <w:footnoteRef/>
      </w:r>
      <w:r>
        <w:t xml:space="preserve"> I refer to this as a “field” portfolio in its current state, but acknowledge that the portfolio originally </w:t>
      </w:r>
      <w:r w:rsidR="00ED31EB">
        <w:t xml:space="preserve">may have been what we now refer to </w:t>
      </w:r>
      <w:r>
        <w:t xml:space="preserve">as a foundation concept.  Conversely, OSF’s original investments in judicial nominations </w:t>
      </w:r>
      <w:r w:rsidR="002B170E">
        <w:t xml:space="preserve">projects </w:t>
      </w:r>
      <w:r>
        <w:t>provided support to an existing field</w:t>
      </w:r>
      <w:r w:rsidR="000A208E">
        <w:t>,</w:t>
      </w:r>
      <w:r>
        <w:t xml:space="preserve"> </w:t>
      </w:r>
      <w:r w:rsidR="008D1B0C">
        <w:t xml:space="preserve">and </w:t>
      </w:r>
      <w:r>
        <w:t xml:space="preserve">the 2010-12 change in strategy had elements </w:t>
      </w:r>
      <w:r w:rsidR="008D1B0C">
        <w:t xml:space="preserve">of </w:t>
      </w:r>
      <w:r w:rsidR="002B170E">
        <w:t xml:space="preserve">a </w:t>
      </w:r>
      <w:r>
        <w:t xml:space="preserve">concept, since we created a </w:t>
      </w:r>
      <w:r w:rsidR="002B170E">
        <w:t xml:space="preserve">new </w:t>
      </w:r>
      <w:r>
        <w:t>sub-field</w:t>
      </w:r>
      <w:r w:rsidR="000A208E">
        <w:t>:</w:t>
      </w:r>
      <w:r>
        <w:t xml:space="preserve"> state-based judicial nominations advocacy.</w:t>
      </w:r>
    </w:p>
  </w:footnote>
  <w:footnote w:id="2">
    <w:p w:rsidR="007460F4" w:rsidRDefault="007460F4">
      <w:pPr>
        <w:pStyle w:val="FootnoteText"/>
      </w:pPr>
      <w:r>
        <w:rPr>
          <w:rStyle w:val="FootnoteReference"/>
        </w:rPr>
        <w:footnoteRef/>
      </w:r>
      <w:r>
        <w:t xml:space="preserve"> This portfolio review focuses only on the federal courts.  OSF’s work </w:t>
      </w:r>
      <w:r w:rsidR="00185B56">
        <w:t xml:space="preserve">on issues concerning </w:t>
      </w:r>
      <w:r>
        <w:t xml:space="preserve">state courts is </w:t>
      </w:r>
      <w:r w:rsidR="00185B56">
        <w:t>in a related but independent p</w:t>
      </w:r>
      <w:r w:rsidRPr="007D5876">
        <w:t>ortfolio</w:t>
      </w:r>
      <w:r>
        <w:t xml:space="preserve">.  </w:t>
      </w:r>
      <w:r w:rsidR="00185B56" w:rsidRPr="00922B13">
        <w:rPr>
          <w:i/>
        </w:rPr>
        <w:t>However</w:t>
      </w:r>
      <w:r w:rsidRPr="00922B13">
        <w:rPr>
          <w:i/>
        </w:rPr>
        <w:t xml:space="preserve">, the focus and methods of USP’s work </w:t>
      </w:r>
      <w:r w:rsidR="00185B56" w:rsidRPr="00922B13">
        <w:rPr>
          <w:i/>
        </w:rPr>
        <w:t>o</w:t>
      </w:r>
      <w:r w:rsidRPr="00922B13">
        <w:rPr>
          <w:i/>
        </w:rPr>
        <w:t xml:space="preserve">n state and federal courts </w:t>
      </w:r>
      <w:r w:rsidR="00185B56" w:rsidRPr="00922B13">
        <w:rPr>
          <w:i/>
        </w:rPr>
        <w:t>issues are converging somewhat</w:t>
      </w:r>
      <w:r w:rsidRPr="00922B13">
        <w:rPr>
          <w:i/>
        </w:rPr>
        <w:t xml:space="preserve">, </w:t>
      </w:r>
      <w:r w:rsidR="00185B56" w:rsidRPr="00922B13">
        <w:rPr>
          <w:i/>
        </w:rPr>
        <w:t xml:space="preserve">and </w:t>
      </w:r>
      <w:r w:rsidRPr="00922B13">
        <w:rPr>
          <w:i/>
        </w:rPr>
        <w:t xml:space="preserve">we </w:t>
      </w:r>
      <w:r w:rsidR="00185B56" w:rsidRPr="00922B13">
        <w:rPr>
          <w:i/>
        </w:rPr>
        <w:t xml:space="preserve">are closely monitoring the shifts </w:t>
      </w:r>
      <w:r w:rsidR="000A208E" w:rsidRPr="00922B13">
        <w:rPr>
          <w:i/>
        </w:rPr>
        <w:t xml:space="preserve">to evaluate </w:t>
      </w:r>
      <w:r w:rsidRPr="00922B13">
        <w:rPr>
          <w:i/>
        </w:rPr>
        <w:t>whether the institutions should remain in separate portfolios.</w:t>
      </w:r>
    </w:p>
  </w:footnote>
  <w:footnote w:id="3">
    <w:p w:rsidR="002B170E" w:rsidRDefault="002B170E">
      <w:pPr>
        <w:pStyle w:val="FootnoteText"/>
      </w:pPr>
      <w:r>
        <w:rPr>
          <w:rStyle w:val="FootnoteReference"/>
        </w:rPr>
        <w:footnoteRef/>
      </w:r>
      <w:r>
        <w:t xml:space="preserve"> </w:t>
      </w:r>
      <w:proofErr w:type="gramStart"/>
      <w:r>
        <w:t xml:space="preserve">Telephone interview with John </w:t>
      </w:r>
      <w:proofErr w:type="spellStart"/>
      <w:r>
        <w:t>Kowal</w:t>
      </w:r>
      <w:proofErr w:type="spellEnd"/>
      <w:r>
        <w:t>, 5/11/15.</w:t>
      </w:r>
      <w:proofErr w:type="gramEnd"/>
    </w:p>
  </w:footnote>
  <w:footnote w:id="4">
    <w:p w:rsidR="007460F4" w:rsidRDefault="007460F4">
      <w:pPr>
        <w:pStyle w:val="FootnoteText"/>
      </w:pPr>
      <w:r>
        <w:rPr>
          <w:rStyle w:val="FootnoteReference"/>
        </w:rPr>
        <w:footnoteRef/>
      </w:r>
      <w:r>
        <w:t xml:space="preserve"> Progressive counters to ALEC have proven more elusive.  OSF has funded Progressive States Network, the Center for Policy Alternatives (now defunct), and the Center for State Innovation, among others, to fill this gap.  While no organization has been able to put all the pieces together, OSF is currently considering </w:t>
      </w:r>
      <w:r w:rsidR="00EF43D5">
        <w:t xml:space="preserve">support for </w:t>
      </w:r>
      <w:r>
        <w:t>the State Innovation Exchange, formed by the merger of PSN, CSI and an anti-ALEC project of CSI called “ALICE.”</w:t>
      </w:r>
    </w:p>
  </w:footnote>
  <w:footnote w:id="5">
    <w:p w:rsidR="00A46268" w:rsidRDefault="00A46268">
      <w:pPr>
        <w:pStyle w:val="FootnoteText"/>
      </w:pPr>
      <w:r>
        <w:rPr>
          <w:rStyle w:val="FootnoteReference"/>
        </w:rPr>
        <w:footnoteRef/>
      </w:r>
      <w:r w:rsidRPr="00A46268">
        <w:t xml:space="preserve">  While other organizations received some funding for their work on nominations, </w:t>
      </w:r>
      <w:proofErr w:type="spellStart"/>
      <w:r w:rsidRPr="00A46268">
        <w:t>Kowal</w:t>
      </w:r>
      <w:proofErr w:type="spellEnd"/>
      <w:r w:rsidRPr="00A46268">
        <w:t xml:space="preserve"> funded the coalition’s operations, including a staff person, through LCCHR.</w:t>
      </w:r>
    </w:p>
  </w:footnote>
  <w:footnote w:id="6">
    <w:p w:rsidR="007460F4" w:rsidRDefault="007460F4">
      <w:pPr>
        <w:pStyle w:val="FootnoteText"/>
      </w:pPr>
      <w:r>
        <w:rPr>
          <w:rStyle w:val="FootnoteReference"/>
        </w:rPr>
        <w:footnoteRef/>
      </w:r>
      <w:r>
        <w:t xml:space="preserve"> </w:t>
      </w:r>
      <w:proofErr w:type="gramStart"/>
      <w:r>
        <w:t>Full audio of this conversation, which considered the marriage equality and gun rights</w:t>
      </w:r>
      <w:r w:rsidR="00D144E1">
        <w:t xml:space="preserve"> movements</w:t>
      </w:r>
      <w:r>
        <w:t>,</w:t>
      </w:r>
      <w:r w:rsidR="00D144E1">
        <w:t xml:space="preserve"> </w:t>
      </w:r>
      <w:hyperlink r:id="rId1" w:history="1">
        <w:r w:rsidRPr="00856C9A">
          <w:rPr>
            <w:rStyle w:val="Hyperlink"/>
          </w:rPr>
          <w:t>here</w:t>
        </w:r>
      </w:hyperlink>
      <w:r>
        <w:t>.</w:t>
      </w:r>
      <w:proofErr w:type="gramEnd"/>
    </w:p>
  </w:footnote>
  <w:footnote w:id="7">
    <w:p w:rsidR="007460F4" w:rsidRDefault="007460F4">
      <w:pPr>
        <w:pStyle w:val="FootnoteText"/>
      </w:pPr>
      <w:r>
        <w:rPr>
          <w:rStyle w:val="FootnoteReference"/>
        </w:rPr>
        <w:footnoteRef/>
      </w:r>
      <w:r>
        <w:t xml:space="preserve"> For an explanation of the blue slip tradition, see </w:t>
      </w:r>
      <w:hyperlink r:id="rId2" w:history="1">
        <w:r w:rsidRPr="00C07F83">
          <w:rPr>
            <w:rStyle w:val="Hyperlink"/>
          </w:rPr>
          <w:t>here</w:t>
        </w:r>
      </w:hyperlink>
      <w:r>
        <w:t>.</w:t>
      </w:r>
    </w:p>
  </w:footnote>
  <w:footnote w:id="8">
    <w:p w:rsidR="007460F4" w:rsidRDefault="007460F4">
      <w:pPr>
        <w:pStyle w:val="FootnoteText"/>
      </w:pPr>
      <w:r>
        <w:rPr>
          <w:rStyle w:val="FootnoteReference"/>
        </w:rPr>
        <w:footnoteRef/>
      </w:r>
      <w:r>
        <w:t xml:space="preserve"> After a final project grant for judicial nominations work in 2009, LCCHR became an anchor grantee, with continued multi-year general support.  </w:t>
      </w:r>
      <w:r w:rsidR="002B7083">
        <w:t xml:space="preserve">LCCHR now </w:t>
      </w:r>
      <w:r>
        <w:t>consider</w:t>
      </w:r>
      <w:r w:rsidR="002B7083">
        <w:t>s itself</w:t>
      </w:r>
      <w:r>
        <w:t xml:space="preserve"> “unfunded” for </w:t>
      </w:r>
      <w:r w:rsidR="002B7083">
        <w:t xml:space="preserve">its </w:t>
      </w:r>
      <w:r>
        <w:t>nominations work</w:t>
      </w:r>
      <w:r w:rsidR="00C0751D">
        <w:t>, but continue</w:t>
      </w:r>
      <w:r w:rsidR="002B7083">
        <w:t>s</w:t>
      </w:r>
      <w:r w:rsidR="00C0751D">
        <w:t xml:space="preserve"> to play a central role in the coalition</w:t>
      </w:r>
      <w:r>
        <w:t>.  Other grantees that had begun to work on judicial nominations, but which operated outside the judicial nominations portfolio, received general operating support and include</w:t>
      </w:r>
      <w:r w:rsidR="002B7083">
        <w:t xml:space="preserve"> CAC, CAP, and</w:t>
      </w:r>
      <w:r>
        <w:t xml:space="preserve"> ACS (which held a 5-year $5 million general operating grant from 2006-11, and which became an anchor grantee in 2011).</w:t>
      </w:r>
    </w:p>
  </w:footnote>
  <w:footnote w:id="9">
    <w:p w:rsidR="00BD498E" w:rsidRDefault="00BD498E" w:rsidP="00BD498E">
      <w:pPr>
        <w:pStyle w:val="FootnoteText"/>
      </w:pPr>
      <w:r>
        <w:rPr>
          <w:rStyle w:val="FootnoteReference"/>
        </w:rPr>
        <w:footnoteRef/>
      </w:r>
      <w:r>
        <w:t xml:space="preserve"> </w:t>
      </w:r>
      <w:r w:rsidRPr="004B2974">
        <w:t xml:space="preserve">OSF began funding Legal Progress </w:t>
      </w:r>
      <w:r w:rsidR="00DB65EC">
        <w:t xml:space="preserve">in 2012, </w:t>
      </w:r>
      <w:r w:rsidRPr="004B2974">
        <w:t xml:space="preserve">after a 6-month start-up period </w:t>
      </w:r>
      <w:r w:rsidRPr="000E6B47">
        <w:t>funded</w:t>
      </w:r>
      <w:r w:rsidRPr="004B2974">
        <w:t xml:space="preserve"> by the Wyss Foundation.  Wyss focused on inside the Beltway approach; OSF </w:t>
      </w:r>
      <w:r w:rsidR="00DB65EC">
        <w:t xml:space="preserve">supports its </w:t>
      </w:r>
      <w:r w:rsidRPr="004B2974">
        <w:t>efforts to organize non-lawyer</w:t>
      </w:r>
      <w:r w:rsidR="00DB65EC">
        <w:t xml:space="preserve"> grassroots courts activists</w:t>
      </w:r>
      <w:r w:rsidRPr="004B2974">
        <w:t xml:space="preserve"> in key states.</w:t>
      </w:r>
    </w:p>
  </w:footnote>
  <w:footnote w:id="10">
    <w:p w:rsidR="005970CD" w:rsidRDefault="005970CD">
      <w:pPr>
        <w:pStyle w:val="FootnoteText"/>
      </w:pPr>
      <w:r>
        <w:rPr>
          <w:rStyle w:val="FootnoteReference"/>
        </w:rPr>
        <w:footnoteRef/>
      </w:r>
      <w:r>
        <w:t xml:space="preserve"> In addition, as part of its Wyss-funded work, ACS began to work not only with </w:t>
      </w:r>
      <w:proofErr w:type="spellStart"/>
      <w:r>
        <w:t>grasstops</w:t>
      </w:r>
      <w:proofErr w:type="spellEnd"/>
      <w:r>
        <w:t xml:space="preserve">, but with rank and file chapter members around the country to develop the “Why Courts Matter” programming arc and to engage its rank and file members as courts activists.  </w:t>
      </w:r>
    </w:p>
  </w:footnote>
  <w:footnote w:id="11">
    <w:p w:rsidR="00D52FBF" w:rsidRDefault="00D52FBF">
      <w:pPr>
        <w:pStyle w:val="FootnoteText"/>
      </w:pPr>
      <w:r>
        <w:rPr>
          <w:rStyle w:val="FootnoteReference"/>
        </w:rPr>
        <w:footnoteRef/>
      </w:r>
      <w:r>
        <w:t xml:space="preserve"> In the same timeframe, OSPC made complementary c4 grants for judicial nominations advocacy to groups including the </w:t>
      </w:r>
      <w:r w:rsidR="00071D91">
        <w:t xml:space="preserve">Committee </w:t>
      </w:r>
      <w:r>
        <w:t>for a Fair Judiciary.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7F" w:rsidRDefault="004315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FC1" w:rsidRPr="00AB37B7" w:rsidRDefault="003C7ABE">
    <w:pPr>
      <w:pStyle w:val="Header"/>
      <w:pBdr>
        <w:between w:val="single" w:sz="4" w:space="1" w:color="4F81BD" w:themeColor="accent1"/>
      </w:pBdr>
      <w:spacing w:line="276" w:lineRule="auto"/>
      <w:jc w:val="center"/>
      <w:rPr>
        <w:b/>
      </w:rPr>
    </w:pPr>
    <w:sdt>
      <w:sdtPr>
        <w:rPr>
          <w:b/>
        </w:rPr>
        <w:id w:val="1492143442"/>
        <w:docPartObj>
          <w:docPartGallery w:val="Watermarks"/>
          <w:docPartUnique/>
        </w:docPartObj>
      </w:sdtPr>
      <w:sdtEnd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b/>
        </w:rPr>
        <w:alias w:val="Title"/>
        <w:id w:val="77547040"/>
        <w:placeholder>
          <w:docPart w:val="020DEA4C4A1740E4BE8BDF6ECEE4C56C"/>
        </w:placeholder>
        <w:dataBinding w:prefixMappings="xmlns:ns0='http://schemas.openxmlformats.org/package/2006/metadata/core-properties' xmlns:ns1='http://purl.org/dc/elements/1.1/'" w:xpath="/ns0:coreProperties[1]/ns1:title[1]" w:storeItemID="{6C3C8BC8-F283-45AE-878A-BAB7291924A1}"/>
        <w:text/>
      </w:sdtPr>
      <w:sdtEndPr/>
      <w:sdtContent>
        <w:r w:rsidR="00EB2FC1" w:rsidRPr="00AB37B7">
          <w:rPr>
            <w:b/>
          </w:rPr>
          <w:t>Constitution and the Courts Portfolio Review</w:t>
        </w:r>
      </w:sdtContent>
    </w:sdt>
  </w:p>
  <w:sdt>
    <w:sdtPr>
      <w:alias w:val="Date"/>
      <w:id w:val="77547044"/>
      <w:dataBinding w:prefixMappings="xmlns:ns0='http://schemas.microsoft.com/office/2006/coverPageProps'" w:xpath="/ns0:CoverPageProperties[1]/ns0:PublishDate[1]" w:storeItemID="{55AF091B-3C7A-41E3-B477-F2FDAA23CFDA}"/>
      <w:date w:fullDate="2015-05-21T00:00:00Z">
        <w:dateFormat w:val="MMMM d, yyyy"/>
        <w:lid w:val="en-US"/>
        <w:storeMappedDataAs w:val="dateTime"/>
        <w:calendar w:val="gregorian"/>
      </w:date>
    </w:sdtPr>
    <w:sdtEndPr/>
    <w:sdtContent>
      <w:p w:rsidR="00EB2FC1" w:rsidRDefault="00EB2FC1">
        <w:pPr>
          <w:pStyle w:val="Header"/>
          <w:pBdr>
            <w:between w:val="single" w:sz="4" w:space="1" w:color="4F81BD" w:themeColor="accent1"/>
          </w:pBdr>
          <w:spacing w:line="276" w:lineRule="auto"/>
          <w:jc w:val="center"/>
        </w:pPr>
        <w:r>
          <w:t>May 21, 2015</w:t>
        </w:r>
      </w:p>
    </w:sdtContent>
  </w:sdt>
  <w:p w:rsidR="00EB2FC1" w:rsidRDefault="00EB2F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7F" w:rsidRDefault="004315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E79E2"/>
    <w:multiLevelType w:val="hybridMultilevel"/>
    <w:tmpl w:val="C2B66966"/>
    <w:lvl w:ilvl="0" w:tplc="D84EE20E">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3662763"/>
    <w:multiLevelType w:val="hybridMultilevel"/>
    <w:tmpl w:val="6BD090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860182E"/>
    <w:multiLevelType w:val="hybridMultilevel"/>
    <w:tmpl w:val="C6DA4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3B376D"/>
    <w:multiLevelType w:val="hybridMultilevel"/>
    <w:tmpl w:val="811C9326"/>
    <w:lvl w:ilvl="0" w:tplc="2C74C66A">
      <w:start w:val="1"/>
      <w:numFmt w:val="upp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495327DE"/>
    <w:multiLevelType w:val="hybridMultilevel"/>
    <w:tmpl w:val="18CA5910"/>
    <w:lvl w:ilvl="0" w:tplc="65A6060A">
      <w:start w:val="1"/>
      <w:numFmt w:val="upperRoman"/>
      <w:lvlText w:val="%1."/>
      <w:lvlJc w:val="left"/>
      <w:pPr>
        <w:ind w:left="765" w:hanging="720"/>
      </w:pPr>
      <w:rPr>
        <w:rFonts w:hint="default"/>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4AB429DD"/>
    <w:multiLevelType w:val="hybridMultilevel"/>
    <w:tmpl w:val="088A0874"/>
    <w:lvl w:ilvl="0" w:tplc="C6E277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AB3A35"/>
    <w:multiLevelType w:val="hybridMultilevel"/>
    <w:tmpl w:val="9E968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6"/>
  </w:num>
  <w:num w:numId="4">
    <w:abstractNumId w:val="4"/>
  </w:num>
  <w:num w:numId="5">
    <w:abstractNumId w:val="1"/>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244"/>
    <w:rsid w:val="00004621"/>
    <w:rsid w:val="000125AB"/>
    <w:rsid w:val="000162E5"/>
    <w:rsid w:val="00034A2B"/>
    <w:rsid w:val="0004237A"/>
    <w:rsid w:val="00050E67"/>
    <w:rsid w:val="0006237E"/>
    <w:rsid w:val="00071D91"/>
    <w:rsid w:val="00071F8E"/>
    <w:rsid w:val="00076B73"/>
    <w:rsid w:val="000A1F6B"/>
    <w:rsid w:val="000A208E"/>
    <w:rsid w:val="000A7DE3"/>
    <w:rsid w:val="000B1DCD"/>
    <w:rsid w:val="000C168E"/>
    <w:rsid w:val="000C435D"/>
    <w:rsid w:val="000C7459"/>
    <w:rsid w:val="000C7945"/>
    <w:rsid w:val="000E1578"/>
    <w:rsid w:val="000E1EB2"/>
    <w:rsid w:val="000E6B47"/>
    <w:rsid w:val="000F7B21"/>
    <w:rsid w:val="00115D7E"/>
    <w:rsid w:val="00117BCC"/>
    <w:rsid w:val="00130CEE"/>
    <w:rsid w:val="001325CF"/>
    <w:rsid w:val="00134E96"/>
    <w:rsid w:val="00141792"/>
    <w:rsid w:val="00152C4B"/>
    <w:rsid w:val="001567CF"/>
    <w:rsid w:val="001635BD"/>
    <w:rsid w:val="0016380A"/>
    <w:rsid w:val="001802BE"/>
    <w:rsid w:val="00183159"/>
    <w:rsid w:val="00185B56"/>
    <w:rsid w:val="001934EF"/>
    <w:rsid w:val="00197862"/>
    <w:rsid w:val="001A54B7"/>
    <w:rsid w:val="001A5BBB"/>
    <w:rsid w:val="001B7576"/>
    <w:rsid w:val="001C09B3"/>
    <w:rsid w:val="001D389A"/>
    <w:rsid w:val="001E211B"/>
    <w:rsid w:val="001F5FCE"/>
    <w:rsid w:val="00204EF2"/>
    <w:rsid w:val="00205453"/>
    <w:rsid w:val="00212904"/>
    <w:rsid w:val="0022150A"/>
    <w:rsid w:val="00221A01"/>
    <w:rsid w:val="00222E93"/>
    <w:rsid w:val="002426EA"/>
    <w:rsid w:val="002536F9"/>
    <w:rsid w:val="0028142D"/>
    <w:rsid w:val="0029182C"/>
    <w:rsid w:val="00291BC5"/>
    <w:rsid w:val="00293570"/>
    <w:rsid w:val="00294054"/>
    <w:rsid w:val="002A0434"/>
    <w:rsid w:val="002A6479"/>
    <w:rsid w:val="002B07FC"/>
    <w:rsid w:val="002B1624"/>
    <w:rsid w:val="002B170E"/>
    <w:rsid w:val="002B7083"/>
    <w:rsid w:val="002C060B"/>
    <w:rsid w:val="002D0C31"/>
    <w:rsid w:val="002E3027"/>
    <w:rsid w:val="002F1D37"/>
    <w:rsid w:val="00300615"/>
    <w:rsid w:val="00311735"/>
    <w:rsid w:val="003151D6"/>
    <w:rsid w:val="00316DD9"/>
    <w:rsid w:val="00326950"/>
    <w:rsid w:val="00352570"/>
    <w:rsid w:val="0035609E"/>
    <w:rsid w:val="00361B11"/>
    <w:rsid w:val="00362EDF"/>
    <w:rsid w:val="00374244"/>
    <w:rsid w:val="003A6898"/>
    <w:rsid w:val="003B0032"/>
    <w:rsid w:val="003B548D"/>
    <w:rsid w:val="003B7392"/>
    <w:rsid w:val="003C7ABE"/>
    <w:rsid w:val="003D0380"/>
    <w:rsid w:val="003D0619"/>
    <w:rsid w:val="003D7BA8"/>
    <w:rsid w:val="003F20AE"/>
    <w:rsid w:val="003F6F7E"/>
    <w:rsid w:val="00405FE7"/>
    <w:rsid w:val="0043157F"/>
    <w:rsid w:val="00440F78"/>
    <w:rsid w:val="00445EE2"/>
    <w:rsid w:val="00473D05"/>
    <w:rsid w:val="00485D77"/>
    <w:rsid w:val="004904C6"/>
    <w:rsid w:val="004A7A38"/>
    <w:rsid w:val="004B21F2"/>
    <w:rsid w:val="004B25E1"/>
    <w:rsid w:val="004B2974"/>
    <w:rsid w:val="004B2B0D"/>
    <w:rsid w:val="004B4C2E"/>
    <w:rsid w:val="004E3693"/>
    <w:rsid w:val="00504232"/>
    <w:rsid w:val="00521E55"/>
    <w:rsid w:val="0052778D"/>
    <w:rsid w:val="00546B7F"/>
    <w:rsid w:val="00555682"/>
    <w:rsid w:val="00565F4F"/>
    <w:rsid w:val="00567B91"/>
    <w:rsid w:val="00583303"/>
    <w:rsid w:val="005874AF"/>
    <w:rsid w:val="005970CD"/>
    <w:rsid w:val="005A69D7"/>
    <w:rsid w:val="005B6FEE"/>
    <w:rsid w:val="005C5AE9"/>
    <w:rsid w:val="005C6776"/>
    <w:rsid w:val="005D24F6"/>
    <w:rsid w:val="005D4FD0"/>
    <w:rsid w:val="005D769E"/>
    <w:rsid w:val="005E222F"/>
    <w:rsid w:val="005E4304"/>
    <w:rsid w:val="005E4503"/>
    <w:rsid w:val="00634C58"/>
    <w:rsid w:val="00643903"/>
    <w:rsid w:val="00657CEB"/>
    <w:rsid w:val="0066409D"/>
    <w:rsid w:val="00684020"/>
    <w:rsid w:val="006941BE"/>
    <w:rsid w:val="00696F5E"/>
    <w:rsid w:val="00697B26"/>
    <w:rsid w:val="006A0E1C"/>
    <w:rsid w:val="006B121C"/>
    <w:rsid w:val="006E55DD"/>
    <w:rsid w:val="006F5083"/>
    <w:rsid w:val="00702164"/>
    <w:rsid w:val="00704F2E"/>
    <w:rsid w:val="00705C9F"/>
    <w:rsid w:val="007352C9"/>
    <w:rsid w:val="00737060"/>
    <w:rsid w:val="007460F4"/>
    <w:rsid w:val="0075225B"/>
    <w:rsid w:val="00752EC4"/>
    <w:rsid w:val="007572DD"/>
    <w:rsid w:val="00765316"/>
    <w:rsid w:val="00767F40"/>
    <w:rsid w:val="00770550"/>
    <w:rsid w:val="00780BE8"/>
    <w:rsid w:val="007A0534"/>
    <w:rsid w:val="007C6CA2"/>
    <w:rsid w:val="007D5876"/>
    <w:rsid w:val="007E17AF"/>
    <w:rsid w:val="007E486E"/>
    <w:rsid w:val="00805974"/>
    <w:rsid w:val="008214C8"/>
    <w:rsid w:val="00834BA9"/>
    <w:rsid w:val="008366F5"/>
    <w:rsid w:val="008413B0"/>
    <w:rsid w:val="008564C1"/>
    <w:rsid w:val="00856C9A"/>
    <w:rsid w:val="008651FB"/>
    <w:rsid w:val="0089038F"/>
    <w:rsid w:val="00893385"/>
    <w:rsid w:val="00893D1E"/>
    <w:rsid w:val="008C54DB"/>
    <w:rsid w:val="008D1B0C"/>
    <w:rsid w:val="008D2797"/>
    <w:rsid w:val="008D7DC6"/>
    <w:rsid w:val="008E1886"/>
    <w:rsid w:val="008F0BB4"/>
    <w:rsid w:val="008F43F8"/>
    <w:rsid w:val="008F4469"/>
    <w:rsid w:val="008F4DF4"/>
    <w:rsid w:val="008F4E23"/>
    <w:rsid w:val="00911661"/>
    <w:rsid w:val="0091738D"/>
    <w:rsid w:val="0092029C"/>
    <w:rsid w:val="00922B13"/>
    <w:rsid w:val="0093641B"/>
    <w:rsid w:val="009541F7"/>
    <w:rsid w:val="00956604"/>
    <w:rsid w:val="00964A99"/>
    <w:rsid w:val="00976F46"/>
    <w:rsid w:val="00985C50"/>
    <w:rsid w:val="00986375"/>
    <w:rsid w:val="00991F01"/>
    <w:rsid w:val="00997E7B"/>
    <w:rsid w:val="009A69AB"/>
    <w:rsid w:val="009B4F5B"/>
    <w:rsid w:val="009C200C"/>
    <w:rsid w:val="009C3A15"/>
    <w:rsid w:val="009C7187"/>
    <w:rsid w:val="009C7395"/>
    <w:rsid w:val="009F53EE"/>
    <w:rsid w:val="00A155EC"/>
    <w:rsid w:val="00A34271"/>
    <w:rsid w:val="00A35ACB"/>
    <w:rsid w:val="00A46268"/>
    <w:rsid w:val="00A504CD"/>
    <w:rsid w:val="00A76693"/>
    <w:rsid w:val="00AA43AA"/>
    <w:rsid w:val="00AA757E"/>
    <w:rsid w:val="00AB16B3"/>
    <w:rsid w:val="00AB2B73"/>
    <w:rsid w:val="00AB2BE2"/>
    <w:rsid w:val="00AB323E"/>
    <w:rsid w:val="00AB37B7"/>
    <w:rsid w:val="00AB3DEA"/>
    <w:rsid w:val="00AC3604"/>
    <w:rsid w:val="00AC4040"/>
    <w:rsid w:val="00AF3DD6"/>
    <w:rsid w:val="00AF4C0E"/>
    <w:rsid w:val="00AF4D72"/>
    <w:rsid w:val="00B0369F"/>
    <w:rsid w:val="00B04C51"/>
    <w:rsid w:val="00B076D7"/>
    <w:rsid w:val="00B102FD"/>
    <w:rsid w:val="00B20964"/>
    <w:rsid w:val="00B3270F"/>
    <w:rsid w:val="00B35369"/>
    <w:rsid w:val="00B40192"/>
    <w:rsid w:val="00B44B86"/>
    <w:rsid w:val="00B45D81"/>
    <w:rsid w:val="00B62D6F"/>
    <w:rsid w:val="00B662EA"/>
    <w:rsid w:val="00B72265"/>
    <w:rsid w:val="00B74FF3"/>
    <w:rsid w:val="00B75872"/>
    <w:rsid w:val="00B76E51"/>
    <w:rsid w:val="00B8633B"/>
    <w:rsid w:val="00BB13A6"/>
    <w:rsid w:val="00BB7BF6"/>
    <w:rsid w:val="00BC1B67"/>
    <w:rsid w:val="00BD3BFC"/>
    <w:rsid w:val="00BD498E"/>
    <w:rsid w:val="00BF0710"/>
    <w:rsid w:val="00C0751D"/>
    <w:rsid w:val="00C07F83"/>
    <w:rsid w:val="00C12B83"/>
    <w:rsid w:val="00C45FC9"/>
    <w:rsid w:val="00C47C8F"/>
    <w:rsid w:val="00C65964"/>
    <w:rsid w:val="00C674D9"/>
    <w:rsid w:val="00C82F75"/>
    <w:rsid w:val="00C93E36"/>
    <w:rsid w:val="00CA03F3"/>
    <w:rsid w:val="00CA278A"/>
    <w:rsid w:val="00CA656C"/>
    <w:rsid w:val="00CA664C"/>
    <w:rsid w:val="00CB49A7"/>
    <w:rsid w:val="00CC7682"/>
    <w:rsid w:val="00CE35B5"/>
    <w:rsid w:val="00CF5397"/>
    <w:rsid w:val="00D03FCA"/>
    <w:rsid w:val="00D05BF3"/>
    <w:rsid w:val="00D1063E"/>
    <w:rsid w:val="00D12946"/>
    <w:rsid w:val="00D144E1"/>
    <w:rsid w:val="00D1551E"/>
    <w:rsid w:val="00D352DA"/>
    <w:rsid w:val="00D46160"/>
    <w:rsid w:val="00D52FBF"/>
    <w:rsid w:val="00D637BF"/>
    <w:rsid w:val="00D6495E"/>
    <w:rsid w:val="00D65258"/>
    <w:rsid w:val="00D71039"/>
    <w:rsid w:val="00D742D0"/>
    <w:rsid w:val="00D84C73"/>
    <w:rsid w:val="00D85CBC"/>
    <w:rsid w:val="00D87172"/>
    <w:rsid w:val="00D876DD"/>
    <w:rsid w:val="00DA1D46"/>
    <w:rsid w:val="00DA6E7B"/>
    <w:rsid w:val="00DB162E"/>
    <w:rsid w:val="00DB3118"/>
    <w:rsid w:val="00DB65EC"/>
    <w:rsid w:val="00DB72D0"/>
    <w:rsid w:val="00DB7BCA"/>
    <w:rsid w:val="00DE3273"/>
    <w:rsid w:val="00DF1257"/>
    <w:rsid w:val="00DF255C"/>
    <w:rsid w:val="00DF55F9"/>
    <w:rsid w:val="00E12B47"/>
    <w:rsid w:val="00E14264"/>
    <w:rsid w:val="00E37432"/>
    <w:rsid w:val="00E41483"/>
    <w:rsid w:val="00E4788E"/>
    <w:rsid w:val="00E61DC7"/>
    <w:rsid w:val="00E62FC8"/>
    <w:rsid w:val="00E655CA"/>
    <w:rsid w:val="00E85D63"/>
    <w:rsid w:val="00EB2B32"/>
    <w:rsid w:val="00EB2FC1"/>
    <w:rsid w:val="00EB3CB7"/>
    <w:rsid w:val="00ED31EB"/>
    <w:rsid w:val="00EE4B47"/>
    <w:rsid w:val="00EF390F"/>
    <w:rsid w:val="00EF43D5"/>
    <w:rsid w:val="00EF4EFC"/>
    <w:rsid w:val="00F06488"/>
    <w:rsid w:val="00F113E9"/>
    <w:rsid w:val="00F17D76"/>
    <w:rsid w:val="00F22A93"/>
    <w:rsid w:val="00F24D74"/>
    <w:rsid w:val="00F4603D"/>
    <w:rsid w:val="00F535A4"/>
    <w:rsid w:val="00F6292E"/>
    <w:rsid w:val="00F632FF"/>
    <w:rsid w:val="00F6597E"/>
    <w:rsid w:val="00F70282"/>
    <w:rsid w:val="00F811E4"/>
    <w:rsid w:val="00F827BF"/>
    <w:rsid w:val="00F8451B"/>
    <w:rsid w:val="00F87AA4"/>
    <w:rsid w:val="00F91322"/>
    <w:rsid w:val="00F91364"/>
    <w:rsid w:val="00FA5D15"/>
    <w:rsid w:val="00FB4E28"/>
    <w:rsid w:val="00FC067F"/>
    <w:rsid w:val="00FE2E64"/>
    <w:rsid w:val="00FF7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74244"/>
    <w:pPr>
      <w:ind w:left="720"/>
      <w:contextualSpacing/>
    </w:pPr>
  </w:style>
  <w:style w:type="character" w:styleId="Hyperlink">
    <w:name w:val="Hyperlink"/>
    <w:basedOn w:val="DefaultParagraphFont"/>
    <w:uiPriority w:val="99"/>
    <w:unhideWhenUsed/>
    <w:rsid w:val="005D4FD0"/>
    <w:rPr>
      <w:color w:val="0000FF" w:themeColor="hyperlink"/>
      <w:u w:val="single"/>
    </w:rPr>
  </w:style>
  <w:style w:type="character" w:styleId="PlaceholderText">
    <w:name w:val="Placeholder Text"/>
    <w:basedOn w:val="DefaultParagraphFont"/>
    <w:uiPriority w:val="99"/>
    <w:semiHidden/>
    <w:rsid w:val="002A6479"/>
    <w:rPr>
      <w:color w:val="808080"/>
    </w:rPr>
  </w:style>
  <w:style w:type="paragraph" w:styleId="BalloonText">
    <w:name w:val="Balloon Text"/>
    <w:basedOn w:val="Normal"/>
    <w:link w:val="BalloonTextChar"/>
    <w:uiPriority w:val="99"/>
    <w:semiHidden/>
    <w:unhideWhenUsed/>
    <w:rsid w:val="002A6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479"/>
    <w:rPr>
      <w:rFonts w:ascii="Tahoma" w:hAnsi="Tahoma" w:cs="Tahoma"/>
      <w:sz w:val="16"/>
      <w:szCs w:val="16"/>
    </w:rPr>
  </w:style>
  <w:style w:type="paragraph" w:styleId="FootnoteText">
    <w:name w:val="footnote text"/>
    <w:basedOn w:val="Normal"/>
    <w:link w:val="FootnoteTextChar"/>
    <w:uiPriority w:val="99"/>
    <w:semiHidden/>
    <w:unhideWhenUsed/>
    <w:rsid w:val="00DB7B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7BCA"/>
    <w:rPr>
      <w:sz w:val="20"/>
      <w:szCs w:val="20"/>
    </w:rPr>
  </w:style>
  <w:style w:type="character" w:styleId="FootnoteReference">
    <w:name w:val="footnote reference"/>
    <w:basedOn w:val="DefaultParagraphFont"/>
    <w:uiPriority w:val="99"/>
    <w:semiHidden/>
    <w:unhideWhenUsed/>
    <w:rsid w:val="00DB7BCA"/>
    <w:rPr>
      <w:vertAlign w:val="superscript"/>
    </w:rPr>
  </w:style>
  <w:style w:type="paragraph" w:styleId="Header">
    <w:name w:val="header"/>
    <w:basedOn w:val="Normal"/>
    <w:link w:val="HeaderChar"/>
    <w:uiPriority w:val="99"/>
    <w:unhideWhenUsed/>
    <w:rsid w:val="00A5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4CD"/>
  </w:style>
  <w:style w:type="paragraph" w:styleId="Footer">
    <w:name w:val="footer"/>
    <w:basedOn w:val="Normal"/>
    <w:link w:val="FooterChar"/>
    <w:uiPriority w:val="99"/>
    <w:unhideWhenUsed/>
    <w:rsid w:val="00A5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4CD"/>
  </w:style>
  <w:style w:type="paragraph" w:styleId="EndnoteText">
    <w:name w:val="endnote text"/>
    <w:basedOn w:val="Normal"/>
    <w:link w:val="EndnoteTextChar"/>
    <w:uiPriority w:val="99"/>
    <w:semiHidden/>
    <w:unhideWhenUsed/>
    <w:rsid w:val="00C07F8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07F83"/>
    <w:rPr>
      <w:sz w:val="20"/>
      <w:szCs w:val="20"/>
    </w:rPr>
  </w:style>
  <w:style w:type="character" w:styleId="EndnoteReference">
    <w:name w:val="endnote reference"/>
    <w:basedOn w:val="DefaultParagraphFont"/>
    <w:uiPriority w:val="99"/>
    <w:semiHidden/>
    <w:unhideWhenUsed/>
    <w:rsid w:val="00C07F83"/>
    <w:rPr>
      <w:vertAlign w:val="superscript"/>
    </w:rPr>
  </w:style>
  <w:style w:type="paragraph" w:styleId="NoSpacing">
    <w:name w:val="No Spacing"/>
    <w:uiPriority w:val="1"/>
    <w:qFormat/>
    <w:rsid w:val="00AA757E"/>
    <w:pPr>
      <w:spacing w:after="0" w:line="240" w:lineRule="auto"/>
    </w:pPr>
    <w:rPr>
      <w:rFonts w:ascii="Times New Roman" w:eastAsia="Arial Unicode MS" w:hAnsi="Times New Roman" w:cs="Times New Roman"/>
      <w:sz w:val="24"/>
      <w:szCs w:val="24"/>
    </w:rPr>
  </w:style>
  <w:style w:type="paragraph" w:customStyle="1" w:styleId="BodyA">
    <w:name w:val="Body A"/>
    <w:rsid w:val="00AA757E"/>
    <w:rPr>
      <w:rFonts w:ascii="Calibri" w:eastAsia="Calibri" w:hAnsi="Calibri" w:cs="Calibri"/>
      <w:color w:val="000000"/>
      <w:u w:color="000000"/>
    </w:rPr>
  </w:style>
  <w:style w:type="character" w:styleId="FollowedHyperlink">
    <w:name w:val="FollowedHyperlink"/>
    <w:basedOn w:val="DefaultParagraphFont"/>
    <w:uiPriority w:val="99"/>
    <w:semiHidden/>
    <w:unhideWhenUsed/>
    <w:rsid w:val="00521E55"/>
    <w:rPr>
      <w:color w:val="800080" w:themeColor="followedHyperlink"/>
      <w:u w:val="single"/>
    </w:rPr>
  </w:style>
  <w:style w:type="character" w:customStyle="1" w:styleId="apple-converted-space">
    <w:name w:val="apple-converted-space"/>
    <w:basedOn w:val="DefaultParagraphFont"/>
    <w:rsid w:val="00521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74244"/>
    <w:pPr>
      <w:ind w:left="720"/>
      <w:contextualSpacing/>
    </w:pPr>
  </w:style>
  <w:style w:type="character" w:styleId="Hyperlink">
    <w:name w:val="Hyperlink"/>
    <w:basedOn w:val="DefaultParagraphFont"/>
    <w:uiPriority w:val="99"/>
    <w:unhideWhenUsed/>
    <w:rsid w:val="005D4FD0"/>
    <w:rPr>
      <w:color w:val="0000FF" w:themeColor="hyperlink"/>
      <w:u w:val="single"/>
    </w:rPr>
  </w:style>
  <w:style w:type="character" w:styleId="PlaceholderText">
    <w:name w:val="Placeholder Text"/>
    <w:basedOn w:val="DefaultParagraphFont"/>
    <w:uiPriority w:val="99"/>
    <w:semiHidden/>
    <w:rsid w:val="002A6479"/>
    <w:rPr>
      <w:color w:val="808080"/>
    </w:rPr>
  </w:style>
  <w:style w:type="paragraph" w:styleId="BalloonText">
    <w:name w:val="Balloon Text"/>
    <w:basedOn w:val="Normal"/>
    <w:link w:val="BalloonTextChar"/>
    <w:uiPriority w:val="99"/>
    <w:semiHidden/>
    <w:unhideWhenUsed/>
    <w:rsid w:val="002A6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479"/>
    <w:rPr>
      <w:rFonts w:ascii="Tahoma" w:hAnsi="Tahoma" w:cs="Tahoma"/>
      <w:sz w:val="16"/>
      <w:szCs w:val="16"/>
    </w:rPr>
  </w:style>
  <w:style w:type="paragraph" w:styleId="FootnoteText">
    <w:name w:val="footnote text"/>
    <w:basedOn w:val="Normal"/>
    <w:link w:val="FootnoteTextChar"/>
    <w:uiPriority w:val="99"/>
    <w:semiHidden/>
    <w:unhideWhenUsed/>
    <w:rsid w:val="00DB7B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7BCA"/>
    <w:rPr>
      <w:sz w:val="20"/>
      <w:szCs w:val="20"/>
    </w:rPr>
  </w:style>
  <w:style w:type="character" w:styleId="FootnoteReference">
    <w:name w:val="footnote reference"/>
    <w:basedOn w:val="DefaultParagraphFont"/>
    <w:uiPriority w:val="99"/>
    <w:semiHidden/>
    <w:unhideWhenUsed/>
    <w:rsid w:val="00DB7BCA"/>
    <w:rPr>
      <w:vertAlign w:val="superscript"/>
    </w:rPr>
  </w:style>
  <w:style w:type="paragraph" w:styleId="Header">
    <w:name w:val="header"/>
    <w:basedOn w:val="Normal"/>
    <w:link w:val="HeaderChar"/>
    <w:uiPriority w:val="99"/>
    <w:unhideWhenUsed/>
    <w:rsid w:val="00A5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4CD"/>
  </w:style>
  <w:style w:type="paragraph" w:styleId="Footer">
    <w:name w:val="footer"/>
    <w:basedOn w:val="Normal"/>
    <w:link w:val="FooterChar"/>
    <w:uiPriority w:val="99"/>
    <w:unhideWhenUsed/>
    <w:rsid w:val="00A5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4CD"/>
  </w:style>
  <w:style w:type="paragraph" w:styleId="EndnoteText">
    <w:name w:val="endnote text"/>
    <w:basedOn w:val="Normal"/>
    <w:link w:val="EndnoteTextChar"/>
    <w:uiPriority w:val="99"/>
    <w:semiHidden/>
    <w:unhideWhenUsed/>
    <w:rsid w:val="00C07F8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07F83"/>
    <w:rPr>
      <w:sz w:val="20"/>
      <w:szCs w:val="20"/>
    </w:rPr>
  </w:style>
  <w:style w:type="character" w:styleId="EndnoteReference">
    <w:name w:val="endnote reference"/>
    <w:basedOn w:val="DefaultParagraphFont"/>
    <w:uiPriority w:val="99"/>
    <w:semiHidden/>
    <w:unhideWhenUsed/>
    <w:rsid w:val="00C07F83"/>
    <w:rPr>
      <w:vertAlign w:val="superscript"/>
    </w:rPr>
  </w:style>
  <w:style w:type="paragraph" w:styleId="NoSpacing">
    <w:name w:val="No Spacing"/>
    <w:uiPriority w:val="1"/>
    <w:qFormat/>
    <w:rsid w:val="00AA757E"/>
    <w:pPr>
      <w:spacing w:after="0" w:line="240" w:lineRule="auto"/>
    </w:pPr>
    <w:rPr>
      <w:rFonts w:ascii="Times New Roman" w:eastAsia="Arial Unicode MS" w:hAnsi="Times New Roman" w:cs="Times New Roman"/>
      <w:sz w:val="24"/>
      <w:szCs w:val="24"/>
    </w:rPr>
  </w:style>
  <w:style w:type="paragraph" w:customStyle="1" w:styleId="BodyA">
    <w:name w:val="Body A"/>
    <w:rsid w:val="00AA757E"/>
    <w:rPr>
      <w:rFonts w:ascii="Calibri" w:eastAsia="Calibri" w:hAnsi="Calibri" w:cs="Calibri"/>
      <w:color w:val="000000"/>
      <w:u w:color="000000"/>
    </w:rPr>
  </w:style>
  <w:style w:type="character" w:styleId="FollowedHyperlink">
    <w:name w:val="FollowedHyperlink"/>
    <w:basedOn w:val="DefaultParagraphFont"/>
    <w:uiPriority w:val="99"/>
    <w:semiHidden/>
    <w:unhideWhenUsed/>
    <w:rsid w:val="00521E55"/>
    <w:rPr>
      <w:color w:val="800080" w:themeColor="followedHyperlink"/>
      <w:u w:val="single"/>
    </w:rPr>
  </w:style>
  <w:style w:type="character" w:customStyle="1" w:styleId="apple-converted-space">
    <w:name w:val="apple-converted-space"/>
    <w:basedOn w:val="DefaultParagraphFont"/>
    <w:rsid w:val="00521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14700">
      <w:bodyDiv w:val="1"/>
      <w:marLeft w:val="0"/>
      <w:marRight w:val="0"/>
      <w:marTop w:val="0"/>
      <w:marBottom w:val="0"/>
      <w:divBdr>
        <w:top w:val="none" w:sz="0" w:space="0" w:color="auto"/>
        <w:left w:val="none" w:sz="0" w:space="0" w:color="auto"/>
        <w:bottom w:val="none" w:sz="0" w:space="0" w:color="auto"/>
        <w:right w:val="none" w:sz="0" w:space="0" w:color="auto"/>
      </w:divBdr>
      <w:divsChild>
        <w:div w:id="1596785978">
          <w:marLeft w:val="0"/>
          <w:marRight w:val="0"/>
          <w:marTop w:val="0"/>
          <w:marBottom w:val="0"/>
          <w:divBdr>
            <w:top w:val="none" w:sz="0" w:space="0" w:color="auto"/>
            <w:left w:val="none" w:sz="0" w:space="0" w:color="auto"/>
            <w:bottom w:val="none" w:sz="0" w:space="0" w:color="auto"/>
            <w:right w:val="none" w:sz="0" w:space="0" w:color="auto"/>
          </w:divBdr>
          <w:divsChild>
            <w:div w:id="165225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7588">
      <w:bodyDiv w:val="1"/>
      <w:marLeft w:val="0"/>
      <w:marRight w:val="0"/>
      <w:marTop w:val="0"/>
      <w:marBottom w:val="0"/>
      <w:divBdr>
        <w:top w:val="none" w:sz="0" w:space="0" w:color="auto"/>
        <w:left w:val="none" w:sz="0" w:space="0" w:color="auto"/>
        <w:bottom w:val="none" w:sz="0" w:space="0" w:color="auto"/>
        <w:right w:val="none" w:sz="0" w:space="0" w:color="auto"/>
      </w:divBdr>
    </w:div>
    <w:div w:id="917981174">
      <w:bodyDiv w:val="1"/>
      <w:marLeft w:val="0"/>
      <w:marRight w:val="0"/>
      <w:marTop w:val="0"/>
      <w:marBottom w:val="0"/>
      <w:divBdr>
        <w:top w:val="none" w:sz="0" w:space="0" w:color="auto"/>
        <w:left w:val="none" w:sz="0" w:space="0" w:color="auto"/>
        <w:bottom w:val="none" w:sz="0" w:space="0" w:color="auto"/>
        <w:right w:val="none" w:sz="0" w:space="0" w:color="auto"/>
      </w:divBdr>
      <w:divsChild>
        <w:div w:id="319700474">
          <w:marLeft w:val="0"/>
          <w:marRight w:val="0"/>
          <w:marTop w:val="0"/>
          <w:marBottom w:val="0"/>
          <w:divBdr>
            <w:top w:val="none" w:sz="0" w:space="0" w:color="auto"/>
            <w:left w:val="none" w:sz="0" w:space="0" w:color="auto"/>
            <w:bottom w:val="none" w:sz="0" w:space="0" w:color="auto"/>
            <w:right w:val="none" w:sz="0" w:space="0" w:color="auto"/>
          </w:divBdr>
          <w:divsChild>
            <w:div w:id="13222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49">
      <w:bodyDiv w:val="1"/>
      <w:marLeft w:val="0"/>
      <w:marRight w:val="0"/>
      <w:marTop w:val="0"/>
      <w:marBottom w:val="0"/>
      <w:divBdr>
        <w:top w:val="none" w:sz="0" w:space="0" w:color="auto"/>
        <w:left w:val="none" w:sz="0" w:space="0" w:color="auto"/>
        <w:bottom w:val="none" w:sz="0" w:space="0" w:color="auto"/>
        <w:right w:val="none" w:sz="0" w:space="0" w:color="auto"/>
      </w:divBdr>
    </w:div>
    <w:div w:id="1344473607">
      <w:bodyDiv w:val="1"/>
      <w:marLeft w:val="0"/>
      <w:marRight w:val="0"/>
      <w:marTop w:val="0"/>
      <w:marBottom w:val="0"/>
      <w:divBdr>
        <w:top w:val="none" w:sz="0" w:space="0" w:color="auto"/>
        <w:left w:val="none" w:sz="0" w:space="0" w:color="auto"/>
        <w:bottom w:val="none" w:sz="0" w:space="0" w:color="auto"/>
        <w:right w:val="none" w:sz="0" w:space="0" w:color="auto"/>
      </w:divBdr>
    </w:div>
    <w:div w:id="153727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ightwingwatch.org/content/rebirth-judicial-confirmation-network" TargetMode="External"/><Relationship Id="rId18" Type="http://schemas.openxmlformats.org/officeDocument/2006/relationships/hyperlink" Target="http://www.klobuchar.senate.gov/public/2015/2/klobuchar-franken-recommend-wilhelmina-wright-for-federal-district-court-judge" TargetMode="External"/><Relationship Id="rId26" Type="http://schemas.openxmlformats.org/officeDocument/2006/relationships/hyperlink" Target="http://www.afj.org/reports/professional-diversity-report"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brookings.edu/blogs/fixgov/posts/2014/12/19-obama-lame-duck-judicial-confirmation-success-wheeler"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nytimes.com/2007/05/12/washington/12monica.html?pagewanted=all&amp;_r=0" TargetMode="External"/><Relationship Id="rId17" Type="http://schemas.openxmlformats.org/officeDocument/2006/relationships/hyperlink" Target="http://www.startribune.com/a-push-for-federal-court-diversity/287727351/" TargetMode="External"/><Relationship Id="rId25" Type="http://schemas.openxmlformats.org/officeDocument/2006/relationships/hyperlink" Target="https://www.whitehouse.gov/share/judicial-nominees" TargetMode="Externa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nytimes.com/2009/11/17/opinion/17tue1.html" TargetMode="External"/><Relationship Id="rId20" Type="http://schemas.openxmlformats.org/officeDocument/2006/relationships/hyperlink" Target="http://whycourtsmatter.org/issues/" TargetMode="External"/><Relationship Id="rId29" Type="http://schemas.openxmlformats.org/officeDocument/2006/relationships/hyperlink" Target="http://www.nybooks.com/articles/archives/2015/may/21/mass-incarceration-silence-judg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ytimes.com/2015/01/04/us/politics/gop-turns-to-the-courts-to-aid-agenda.html" TargetMode="External"/><Relationship Id="rId24" Type="http://schemas.openxmlformats.org/officeDocument/2006/relationships/hyperlink" Target="http://www.newyorker.com/magazine/2014/10/27/obama-brief" TargetMode="External"/><Relationship Id="rId32" Type="http://schemas.openxmlformats.org/officeDocument/2006/relationships/header" Target="header2.xml"/><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legaltimes.typepad.com/blt/2008/11/acs-executive-director-named-obamas-staff-secretary.html" TargetMode="External"/><Relationship Id="rId23" Type="http://schemas.openxmlformats.org/officeDocument/2006/relationships/hyperlink" Target="http://www.huffingtonpost.com/2014/12/17/obama-judicial-nominees_n_6328390.html" TargetMode="External"/><Relationship Id="rId28" Type="http://schemas.openxmlformats.org/officeDocument/2006/relationships/hyperlink" Target="http://www.nytimes.com/2014/09/14/us/politics/building-legacy-obama-reshapes-appellate-bench.html?_r=0" TargetMode="External"/><Relationship Id="rId36" Type="http://schemas.openxmlformats.org/officeDocument/2006/relationships/footer" Target="footer3.xml"/><Relationship Id="rId10" Type="http://schemas.openxmlformats.org/officeDocument/2006/relationships/hyperlink" Target="https://prospect.org/article/legend-powell-memo" TargetMode="External"/><Relationship Id="rId19" Type="http://schemas.openxmlformats.org/officeDocument/2006/relationships/hyperlink" Target="http://minnlawyer.com/2013/03/01/klobuchar-recognizes-infinity-in-senate-hearing/"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fed-soc.org/publications/detail/the-philosopher-in-action-a-tribute-to-the-honorable-edwin-meese-iii" TargetMode="External"/><Relationship Id="rId22" Type="http://schemas.openxmlformats.org/officeDocument/2006/relationships/hyperlink" Target="http://www.huffingtonpost.com/2014/05/21/senate-filibuster-reform-obama-nominees_n_5358863.html" TargetMode="External"/><Relationship Id="rId27" Type="http://schemas.openxmlformats.org/officeDocument/2006/relationships/hyperlink" Target="http://www.gallup.com/poll/4732/supreme-court.aspx" TargetMode="External"/><Relationship Id="rId30" Type="http://schemas.openxmlformats.org/officeDocument/2006/relationships/hyperlink" Target="http://blogs.findlaw.com/supreme_court/2011/07/pew-poll-how-should-scotus-interpret-the-us-constitution.html"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talkingpointsmemo.com/dc/how-republicans-can-still-block-obama-judges" TargetMode="External"/><Relationship Id="rId1" Type="http://schemas.openxmlformats.org/officeDocument/2006/relationships/hyperlink" Target="http://www.opensocietyfoundations.org/events/guns-marriage-and-constitution"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1DB"/>
    <w:rsid w:val="00076082"/>
    <w:rsid w:val="00252B57"/>
    <w:rsid w:val="004B42AE"/>
    <w:rsid w:val="005B700F"/>
    <w:rsid w:val="00B06FFA"/>
    <w:rsid w:val="00E27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0DEA4C4A1740E4BE8BDF6ECEE4C56C">
    <w:name w:val="020DEA4C4A1740E4BE8BDF6ECEE4C56C"/>
    <w:rsid w:val="00E271DB"/>
  </w:style>
  <w:style w:type="paragraph" w:customStyle="1" w:styleId="C95321C0C4A548EEB3DFDDC320E0DCB4">
    <w:name w:val="C95321C0C4A548EEB3DFDDC320E0DCB4"/>
    <w:rsid w:val="00E271D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0DEA4C4A1740E4BE8BDF6ECEE4C56C">
    <w:name w:val="020DEA4C4A1740E4BE8BDF6ECEE4C56C"/>
    <w:rsid w:val="00E271DB"/>
  </w:style>
  <w:style w:type="paragraph" w:customStyle="1" w:styleId="C95321C0C4A548EEB3DFDDC320E0DCB4">
    <w:name w:val="C95321C0C4A548EEB3DFDDC320E0DCB4"/>
    <w:rsid w:val="00E271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2015-05-21T00:00:00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490353-3DEE-4CB3-BE0D-80318A558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4126</Words>
  <Characters>23519</Characters>
  <Application>Microsoft Office Word</Application>
  <DocSecurity>4</DocSecurity>
  <Lines>195</Lines>
  <Paragraphs>55</Paragraphs>
  <ScaleCrop>false</ScaleCrop>
  <HeadingPairs>
    <vt:vector size="2" baseType="variant">
      <vt:variant>
        <vt:lpstr>Title</vt:lpstr>
      </vt:variant>
      <vt:variant>
        <vt:i4>1</vt:i4>
      </vt:variant>
    </vt:vector>
  </HeadingPairs>
  <TitlesOfParts>
    <vt:vector size="1" baseType="lpstr">
      <vt:lpstr>Constitution and the Courts Portfolio Review</vt:lpstr>
    </vt:vector>
  </TitlesOfParts>
  <Company>OSF</Company>
  <LinksUpToDate>false</LinksUpToDate>
  <CharactersWithSpaces>27590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and the Courts Portfolio Review</dc:title>
  <dc:creator>Sarah Knight</dc:creator>
  <cp:lastModifiedBy>Daphne Panayotatos</cp:lastModifiedBy>
  <cp:revision>2</cp:revision>
  <cp:lastPrinted>2015-05-18T14:19:00Z</cp:lastPrinted>
  <dcterms:created xsi:type="dcterms:W3CDTF">2015-09-16T20:16:00Z</dcterms:created>
  <dcterms:modified xsi:type="dcterms:W3CDTF">2015-09-16T20:16:00Z</dcterms:modified>
</cp:coreProperties>
</file>